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s="华文中宋"/>
          <w:sz w:val="44"/>
          <w:szCs w:val="44"/>
        </w:rPr>
      </w:pPr>
      <w:r>
        <w:rPr>
          <w:rFonts w:hint="eastAsia" w:ascii="仿宋" w:hAnsi="仿宋" w:eastAsia="仿宋" w:cs="仿宋"/>
          <w:sz w:val="32"/>
          <w:szCs w:val="32"/>
        </w:rPr>
        <w:t>附件1：</w:t>
      </w:r>
    </w:p>
    <w:p>
      <w:pPr>
        <w:spacing w:before="156" w:beforeLines="50" w:after="156" w:afterLines="50"/>
        <w:jc w:val="center"/>
        <w:rPr>
          <w:rFonts w:ascii="Times New Roman" w:hAnsi="Times New Roman" w:eastAsia="方正小标宋_GBK" w:cs="Times New Roman"/>
          <w:b/>
          <w:bCs/>
          <w:sz w:val="40"/>
          <w:szCs w:val="44"/>
        </w:rPr>
      </w:pPr>
      <w:r>
        <w:rPr>
          <w:rFonts w:hint="eastAsia" w:ascii="宋体" w:hAnsi="宋体" w:eastAsia="宋体" w:cs="宋体"/>
          <w:b/>
          <w:bCs/>
          <w:sz w:val="36"/>
          <w:szCs w:val="44"/>
          <w:lang w:val="en-US" w:eastAsia="zh-CN"/>
        </w:rPr>
        <w:t>生物医学工程与医学影像</w:t>
      </w:r>
      <w:r>
        <w:rPr>
          <w:rFonts w:hint="eastAsia" w:ascii="宋体" w:hAnsi="宋体" w:eastAsia="宋体" w:cs="宋体"/>
          <w:b/>
          <w:bCs/>
          <w:sz w:val="36"/>
          <w:szCs w:val="44"/>
        </w:rPr>
        <w:t>学院新一轮</w:t>
      </w:r>
      <w:r>
        <w:rPr>
          <w:rFonts w:ascii="宋体" w:hAnsi="宋体" w:eastAsia="宋体" w:cs="宋体"/>
          <w:b/>
          <w:bCs/>
          <w:sz w:val="36"/>
          <w:szCs w:val="44"/>
        </w:rPr>
        <w:t>本科教育教学审核评估指标体系</w:t>
      </w:r>
      <w:r>
        <w:rPr>
          <w:rFonts w:hint="eastAsia" w:ascii="宋体" w:hAnsi="宋体" w:eastAsia="宋体" w:cs="宋体"/>
          <w:b/>
          <w:bCs/>
          <w:sz w:val="36"/>
          <w:szCs w:val="44"/>
        </w:rPr>
        <w:t>责任</w:t>
      </w:r>
      <w:r>
        <w:rPr>
          <w:rFonts w:ascii="宋体" w:hAnsi="宋体" w:eastAsia="宋体" w:cs="宋体"/>
          <w:b/>
          <w:bCs/>
          <w:sz w:val="36"/>
          <w:szCs w:val="44"/>
        </w:rPr>
        <w:t>分解</w:t>
      </w:r>
      <w:r>
        <w:rPr>
          <w:rFonts w:hint="eastAsia" w:ascii="宋体" w:hAnsi="宋体" w:eastAsia="宋体" w:cs="宋体"/>
          <w:b/>
          <w:bCs/>
          <w:sz w:val="36"/>
          <w:szCs w:val="44"/>
        </w:rPr>
        <w:t>表</w:t>
      </w:r>
      <w:r>
        <w:rPr>
          <w:rFonts w:hint="eastAsia" w:ascii="Times New Roman" w:hAnsi="Times New Roman" w:eastAsia="方正小标宋_GBK" w:cs="Times New Roman"/>
          <w:b/>
          <w:bCs/>
          <w:sz w:val="40"/>
          <w:szCs w:val="44"/>
        </w:rPr>
        <w:t xml:space="preserve">                                                       </w:t>
      </w:r>
    </w:p>
    <w:p>
      <w:pPr>
        <w:jc w:val="center"/>
        <w:rPr>
          <w:rFonts w:ascii="Times New Roman" w:hAnsi="Times New Roman" w:eastAsia="黑体" w:cs="Times New Roman"/>
          <w:sz w:val="32"/>
          <w:szCs w:val="32"/>
        </w:rPr>
      </w:pPr>
      <w:r>
        <w:rPr>
          <w:rFonts w:hint="eastAsia" w:ascii="Times New Roman" w:hAnsi="Times New Roman" w:eastAsia="黑体" w:cs="Times New Roman"/>
          <w:sz w:val="30"/>
          <w:szCs w:val="30"/>
        </w:rPr>
        <w:t>（</w:t>
      </w:r>
      <w:r>
        <w:rPr>
          <w:rFonts w:ascii="Times New Roman" w:hAnsi="Times New Roman" w:eastAsia="黑体" w:cs="Times New Roman"/>
          <w:sz w:val="30"/>
          <w:szCs w:val="30"/>
        </w:rPr>
        <w:t>第二类</w:t>
      </w:r>
      <w:r>
        <w:rPr>
          <w:rFonts w:hint="eastAsia" w:ascii="Times New Roman" w:hAnsi="Times New Roman" w:eastAsia="黑体" w:cs="Times New Roman"/>
          <w:sz w:val="30"/>
          <w:szCs w:val="30"/>
        </w:rPr>
        <w:t>第二种</w:t>
      </w:r>
      <w:r>
        <w:rPr>
          <w:rFonts w:ascii="Times New Roman" w:hAnsi="Times New Roman" w:eastAsia="黑体" w:cs="Times New Roman"/>
          <w:sz w:val="30"/>
          <w:szCs w:val="30"/>
        </w:rPr>
        <w:t>审核评估</w:t>
      </w:r>
      <w:r>
        <w:rPr>
          <w:rFonts w:hint="eastAsia" w:ascii="Times New Roman" w:hAnsi="Times New Roman" w:eastAsia="黑体" w:cs="Times New Roman"/>
          <w:sz w:val="30"/>
          <w:szCs w:val="30"/>
        </w:rPr>
        <w:t>）</w:t>
      </w:r>
    </w:p>
    <w:tbl>
      <w:tblPr>
        <w:tblStyle w:val="8"/>
        <w:tblW w:w="13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701"/>
        <w:gridCol w:w="1552"/>
        <w:gridCol w:w="5536"/>
        <w:gridCol w:w="194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1451" w:type="dxa"/>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一级指标</w:t>
            </w:r>
          </w:p>
        </w:tc>
        <w:tc>
          <w:tcPr>
            <w:tcW w:w="1701" w:type="dxa"/>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二级指标</w:t>
            </w:r>
          </w:p>
        </w:tc>
        <w:tc>
          <w:tcPr>
            <w:tcW w:w="7088" w:type="dxa"/>
            <w:gridSpan w:val="2"/>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审核重点(带*号标识的为新增内容)</w:t>
            </w:r>
          </w:p>
        </w:tc>
        <w:tc>
          <w:tcPr>
            <w:tcW w:w="1946" w:type="dxa"/>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责任单位</w:t>
            </w:r>
          </w:p>
        </w:tc>
        <w:tc>
          <w:tcPr>
            <w:tcW w:w="1418" w:type="dxa"/>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51" w:type="dxa"/>
            <w:vMerge w:val="restart"/>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1.办学方向与本科地位</w:t>
            </w:r>
          </w:p>
          <w:p>
            <w:pPr>
              <w:spacing w:line="30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(牵头部门：党政办)</w:t>
            </w:r>
          </w:p>
        </w:tc>
        <w:tc>
          <w:tcPr>
            <w:tcW w:w="1701" w:type="dxa"/>
            <w:vMerge w:val="restart"/>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1.1党的领导</w:t>
            </w:r>
          </w:p>
        </w:tc>
        <w:tc>
          <w:tcPr>
            <w:tcW w:w="7088" w:type="dxa"/>
            <w:gridSpan w:val="2"/>
            <w:shd w:val="clear" w:color="auto" w:fill="auto"/>
            <w:vAlign w:val="center"/>
          </w:tcPr>
          <w:p>
            <w:pPr>
              <w:widowControl/>
              <w:spacing w:line="300" w:lineRule="exac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1.1.1 学校坚持党的全面领导，依法治教、依法办学、依法治校，围绕国家战略需求培养担当民族复兴大任的时代新人情况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党政办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阮若林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1.1.2 学校坚持社会主义办学方向、贯彻落实立德树人根本任务、</w:t>
            </w:r>
            <w:r>
              <w:rPr>
                <w:rFonts w:hint="eastAsia" w:ascii="仿宋" w:hAnsi="仿宋" w:eastAsia="仿宋" w:cs="仿宋"/>
                <w:color w:val="000000" w:themeColor="text1"/>
                <w:kern w:val="0"/>
                <w:sz w:val="24"/>
                <w:szCs w:val="24"/>
                <w:lang w:val="zh-TW"/>
                <w14:textFill>
                  <w14:solidFill>
                    <w14:schemeClr w14:val="tx1"/>
                  </w14:solidFill>
                </w14:textFill>
              </w:rPr>
              <w:t>把立德树人成效作为检验学校一切工作根本标准</w:t>
            </w:r>
            <w:r>
              <w:rPr>
                <w:rFonts w:hint="eastAsia" w:ascii="仿宋" w:hAnsi="仿宋" w:eastAsia="仿宋" w:cs="仿宋"/>
                <w:color w:val="000000" w:themeColor="text1"/>
                <w:kern w:val="0"/>
                <w:sz w:val="24"/>
                <w:szCs w:val="24"/>
                <w14:textFill>
                  <w14:solidFill>
                    <w14:schemeClr w14:val="tx1"/>
                  </w14:solidFill>
                </w14:textFill>
              </w:rPr>
              <w:t>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党政办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阮若林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1.2思政教育</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1.2.1 思想政治工作体系建设和“三全育人”工作格局建立情况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党政办</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阮若林、</w:t>
            </w: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1.2.2 加强思想政治理论课教师队伍和思政课程建设情况，按要求开设“习近平总书记关于教育的重要论述研究”课程情况</w:t>
            </w:r>
            <w:r>
              <w:rPr>
                <w:rFonts w:hint="eastAsia" w:ascii="仿宋" w:hAnsi="仿宋" w:eastAsia="仿宋" w:cs="仿宋"/>
                <w:b/>
                <w:bCs/>
                <w:color w:val="FF0000"/>
                <w:kern w:val="0"/>
                <w:sz w:val="24"/>
                <w:szCs w:val="24"/>
              </w:rPr>
              <w:t>（*）</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【必选】思政课专任教师与折合在校生比例≥1:350</w:t>
            </w:r>
          </w:p>
          <w:p>
            <w:pPr>
              <w:widowControl/>
              <w:spacing w:line="3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【必选】专职党务工作人员和思想政治工作人员总数与全校师生人数比例≥1:100</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w:t>
            </w:r>
            <w:r>
              <w:rPr>
                <w:rFonts w:hint="eastAsia" w:ascii="仿宋" w:hAnsi="仿宋" w:eastAsia="仿宋" w:cs="仿宋"/>
                <w:color w:val="000000" w:themeColor="text1"/>
                <w:sz w:val="24"/>
                <w:szCs w:val="24"/>
                <w14:textFill>
                  <w14:solidFill>
                    <w14:schemeClr w14:val="tx1"/>
                  </w14:solidFill>
                </w14:textFill>
              </w:rPr>
              <w:t>生均思政工作和党务工作队伍建设专项经费≥20元</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【必选】生均网络思政工作专项经费≥40元</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党政办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阮若林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1.2.3 “课程思政”建设与成效，课程思政示范课程、课程思政教学研究示范中心以及课程思政教学名师和团队的建设及选树情况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1.2.4 学校对教师、学生出现思想政治、道德品质等负面问题能否及时发现和妥当处置情况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1.3本科地位</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1.3.1 “以本为本”落实情况，党委重视、校长主抓、院长落实的本科教育良好氛围形成情况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党政办、各系</w:t>
            </w:r>
          </w:p>
        </w:tc>
        <w:tc>
          <w:tcPr>
            <w:tcW w:w="1418"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阮若林、徐四六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1.3.2 “四个回归”的实现情况，推进学生刻苦读书学习、教师潜心教书育人、学校倾心培养社会主义建设者和接班人等方面的举措与成效</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教学办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r>
              <w:rPr>
                <w:rFonts w:hint="eastAsia" w:ascii="仿宋" w:hAnsi="仿宋" w:eastAsia="仿宋" w:cs="仿宋"/>
                <w:color w:val="000000" w:themeColor="text1"/>
                <w:kern w:val="0"/>
                <w:sz w:val="24"/>
                <w:szCs w:val="24"/>
                <w:lang w:val="en-US"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1.3.3 教学经费、教学资源条件、教师精力投入等优先保障本科教学的机制建设情况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【必选】生均年教学日常运行支出≥1200元（备注5）</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【必选】教学日常运行支出占经常性预算内教育事业费拨款（205类教育拨款扣除专项拨款）与学费收入之和的比例≥13%（教学日常运行支出统计要求见备注5）</w:t>
            </w:r>
          </w:p>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【必选】年新增教学科研仪器设备值所占比例（要求见备注6）</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【必选】生均教学科研仪器设备值（要求见备注7）</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党政办、教学办、实验办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徐四六、</w:t>
            </w: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b/>
                <w:bCs/>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1.3.4 学校各职能部门服务本科教育教学工作情况，本科教育教学工作在学校年度考核中的比重情况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党政办、教学办</w:t>
            </w:r>
          </w:p>
        </w:tc>
        <w:tc>
          <w:tcPr>
            <w:tcW w:w="1418"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徐四六、杨时骐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51" w:type="dxa"/>
            <w:vMerge w:val="restart"/>
            <w:shd w:val="clear" w:color="auto" w:fill="auto"/>
            <w:vAlign w:val="center"/>
          </w:tcPr>
          <w:p>
            <w:pPr>
              <w:jc w:val="center"/>
              <w:rPr>
                <w:rFonts w:ascii="仿宋" w:hAnsi="仿宋" w:eastAsia="仿宋" w:cs="仿宋"/>
                <w:color w:val="000000" w:themeColor="text1"/>
                <w:kern w:val="0"/>
                <w:sz w:val="24"/>
                <w:szCs w:val="24"/>
                <w14:textFill>
                  <w14:solidFill>
                    <w14:schemeClr w14:val="tx1"/>
                  </w14:solidFill>
                </w14:textFill>
              </w:rPr>
            </w:pPr>
          </w:p>
          <w:p>
            <w:pPr>
              <w:jc w:val="center"/>
              <w:rPr>
                <w:rFonts w:ascii="仿宋" w:hAnsi="仿宋" w:eastAsia="仿宋" w:cs="仿宋"/>
                <w:color w:val="000000" w:themeColor="text1"/>
                <w:kern w:val="0"/>
                <w:sz w:val="24"/>
                <w:szCs w:val="24"/>
                <w14:textFill>
                  <w14:solidFill>
                    <w14:schemeClr w14:val="tx1"/>
                  </w14:solidFill>
                </w14:textFill>
              </w:rPr>
            </w:pPr>
          </w:p>
          <w:p>
            <w:pPr>
              <w:jc w:val="center"/>
              <w:rPr>
                <w:rFonts w:ascii="仿宋" w:hAnsi="仿宋" w:eastAsia="仿宋" w:cs="仿宋"/>
                <w:color w:val="000000" w:themeColor="text1"/>
                <w:kern w:val="0"/>
                <w:sz w:val="24"/>
                <w:szCs w:val="24"/>
                <w14:textFill>
                  <w14:solidFill>
                    <w14:schemeClr w14:val="tx1"/>
                  </w14:solidFill>
                </w14:textFill>
              </w:rPr>
            </w:pPr>
          </w:p>
          <w:p>
            <w:pPr>
              <w:jc w:val="center"/>
              <w:rPr>
                <w:rFonts w:ascii="仿宋" w:hAnsi="仿宋" w:eastAsia="仿宋" w:cs="仿宋"/>
                <w:color w:val="000000" w:themeColor="text1"/>
                <w:kern w:val="0"/>
                <w:sz w:val="24"/>
                <w:szCs w:val="24"/>
                <w14:textFill>
                  <w14:solidFill>
                    <w14:schemeClr w14:val="tx1"/>
                  </w14:solidFill>
                </w14:textFill>
              </w:rPr>
            </w:pPr>
          </w:p>
          <w:p>
            <w:pPr>
              <w:jc w:val="center"/>
              <w:rPr>
                <w:rFonts w:ascii="仿宋" w:hAnsi="仿宋" w:eastAsia="仿宋" w:cs="仿宋"/>
                <w:color w:val="000000" w:themeColor="text1"/>
                <w:kern w:val="0"/>
                <w:sz w:val="24"/>
                <w:szCs w:val="24"/>
                <w14:textFill>
                  <w14:solidFill>
                    <w14:schemeClr w14:val="tx1"/>
                  </w14:solidFill>
                </w14:textFill>
              </w:rPr>
            </w:pPr>
          </w:p>
          <w:p>
            <w:pPr>
              <w:jc w:val="center"/>
              <w:rPr>
                <w:rFonts w:ascii="仿宋" w:hAnsi="仿宋" w:eastAsia="仿宋" w:cs="仿宋"/>
                <w:color w:val="000000" w:themeColor="text1"/>
                <w:kern w:val="0"/>
                <w:sz w:val="24"/>
                <w:szCs w:val="24"/>
                <w14:textFill>
                  <w14:solidFill>
                    <w14:schemeClr w14:val="tx1"/>
                  </w14:solidFill>
                </w14:textFill>
              </w:rPr>
            </w:pPr>
          </w:p>
          <w:p>
            <w:pPr>
              <w:jc w:val="center"/>
              <w:rPr>
                <w:rFonts w:ascii="仿宋" w:hAnsi="仿宋" w:eastAsia="仿宋" w:cs="仿宋"/>
                <w:color w:val="000000" w:themeColor="text1"/>
                <w:kern w:val="0"/>
                <w:sz w:val="24"/>
                <w:szCs w:val="24"/>
                <w14:textFill>
                  <w14:solidFill>
                    <w14:schemeClr w14:val="tx1"/>
                  </w14:solidFill>
                </w14:textFill>
              </w:rPr>
            </w:pPr>
          </w:p>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2.培养过程</w:t>
            </w:r>
          </w:p>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(牵头单位：教学办)</w:t>
            </w: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2.1培养方案</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2.1.1 培养目标符合学校定位、适应社会经济发展需要、体现学生德智体美劳全面发展情况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2.1.2 培养方案符合国家专业类标准、体现产出导向理念情况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【必选】学生毕业必须修满的公共艺术课程学分数≥2学分</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【必选】劳动教育必修课或必修课程中劳动教育模块学时总数≥32学时</w:t>
            </w:r>
          </w:p>
        </w:tc>
        <w:tc>
          <w:tcPr>
            <w:tcW w:w="1946" w:type="dxa"/>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2.1.3</w:t>
            </w:r>
          </w:p>
        </w:tc>
        <w:tc>
          <w:tcPr>
            <w:tcW w:w="5536" w:type="dxa"/>
            <w:shd w:val="clear" w:color="auto" w:fill="auto"/>
            <w:vAlign w:val="center"/>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B2培养方案强化实践教学、突出实验实训内容的基础性和应用性、注重培养学生应用能力情况</w:t>
            </w:r>
          </w:p>
        </w:tc>
        <w:tc>
          <w:tcPr>
            <w:tcW w:w="1946" w:type="dxa"/>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2.2专业建设</w:t>
            </w:r>
          </w:p>
        </w:tc>
        <w:tc>
          <w:tcPr>
            <w:tcW w:w="1552" w:type="dxa"/>
            <w:shd w:val="clear" w:color="auto" w:fill="auto"/>
            <w:vAlign w:val="center"/>
          </w:tcPr>
          <w:p>
            <w:pPr>
              <w:tabs>
                <w:tab w:val="left" w:pos="2257"/>
              </w:tabs>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2.2.1</w:t>
            </w:r>
          </w:p>
        </w:tc>
        <w:tc>
          <w:tcPr>
            <w:tcW w:w="5536" w:type="dxa"/>
            <w:shd w:val="clear" w:color="auto" w:fill="auto"/>
            <w:vAlign w:val="center"/>
          </w:tcPr>
          <w:p>
            <w:pPr>
              <w:widowControl/>
              <w:spacing w:line="300" w:lineRule="exact"/>
              <w:rPr>
                <w:rFonts w:ascii="仿宋" w:hAnsi="仿宋" w:eastAsia="仿宋" w:cs="仿宋"/>
                <w:color w:val="000000" w:themeColor="text1"/>
                <w:spacing w:val="-2"/>
                <w:kern w:val="0"/>
                <w:sz w:val="24"/>
                <w:szCs w:val="24"/>
                <w14:textFill>
                  <w14:solidFill>
                    <w14:schemeClr w14:val="tx1"/>
                  </w14:solidFill>
                </w14:textFill>
              </w:rPr>
            </w:pPr>
            <w:r>
              <w:rPr>
                <w:rFonts w:hint="eastAsia" w:ascii="仿宋" w:hAnsi="仿宋" w:eastAsia="仿宋" w:cs="仿宋"/>
                <w:color w:val="000000" w:themeColor="text1"/>
                <w:spacing w:val="-2"/>
                <w:kern w:val="0"/>
                <w:sz w:val="24"/>
                <w:szCs w:val="24"/>
                <w14:textFill>
                  <w14:solidFill>
                    <w14:schemeClr w14:val="tx1"/>
                  </w14:solidFill>
                </w14:textFill>
              </w:rPr>
              <w:t>B2专业设置、专业建设与国家需要、区域经济社会发展及产业发展对应用型人才需求的契合情况</w:t>
            </w:r>
          </w:p>
          <w:p>
            <w:pPr>
              <w:widowControl/>
              <w:spacing w:line="300" w:lineRule="exact"/>
              <w:rPr>
                <w:rFonts w:ascii="仿宋" w:hAnsi="仿宋" w:eastAsia="仿宋" w:cs="仿宋"/>
                <w:color w:val="000000" w:themeColor="text1"/>
                <w:spacing w:val="-2"/>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【必选】通过认证（评估）的专业占专业总数的比例</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【可选】近三年新增专业数</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【可选】近三年停招专业数</w:t>
            </w:r>
          </w:p>
        </w:tc>
        <w:tc>
          <w:tcPr>
            <w:tcW w:w="1946" w:type="dxa"/>
            <w:vAlign w:val="center"/>
          </w:tcPr>
          <w:p>
            <w:pPr>
              <w:widowControl/>
              <w:spacing w:line="300" w:lineRule="exact"/>
              <w:jc w:val="center"/>
              <w:rPr>
                <w:rFonts w:ascii="仿宋" w:hAnsi="仿宋" w:eastAsia="仿宋" w:cs="仿宋"/>
                <w:color w:val="000000" w:themeColor="text1"/>
                <w:spacing w:val="-2"/>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tabs>
                <w:tab w:val="left" w:pos="2257"/>
              </w:tabs>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2.2.2</w:t>
            </w:r>
          </w:p>
        </w:tc>
        <w:tc>
          <w:tcPr>
            <w:tcW w:w="5536" w:type="dxa"/>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B2围绕产业链、创新链建立自主性、灵活性与规范性、稳定性相统一的专业设置管理体系情况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2.2.3 学校通过主辅修、微专业和双学士学位培养等举措促进复合型人才培养情况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2.3实践教学</w:t>
            </w:r>
          </w:p>
        </w:tc>
        <w:tc>
          <w:tcPr>
            <w:tcW w:w="7088" w:type="dxa"/>
            <w:gridSpan w:val="2"/>
            <w:shd w:val="clear" w:color="auto" w:fill="auto"/>
            <w:vAlign w:val="center"/>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2.3.1 强化实践育人、构建实践教学体系、推动实践教学改革情况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【必选】实践教学学分占总学分（学时）比例（人文社科类专业≥15%，理工农医类专业≥25%）</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【必选】国家级、省级实践教学基地（包括实验教学示范中心、虚拟仿真实验中心、临床教学培训示范中心、工程实践基地、农科教合作人才培养基地等）数</w:t>
            </w:r>
          </w:p>
        </w:tc>
        <w:tc>
          <w:tcPr>
            <w:tcW w:w="1946" w:type="dxa"/>
            <w:vAlign w:val="center"/>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教学办、实验办、各系</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tabs>
                <w:tab w:val="left" w:pos="2257"/>
              </w:tabs>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2.3.2</w:t>
            </w:r>
          </w:p>
        </w:tc>
        <w:tc>
          <w:tcPr>
            <w:tcW w:w="5536" w:type="dxa"/>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B2学校与企业、行业单位共建实习实训基地情况</w:t>
            </w:r>
          </w:p>
          <w:p>
            <w:pPr>
              <w:widowControl/>
              <w:spacing w:line="300" w:lineRule="exact"/>
              <w:rPr>
                <w:rFonts w:ascii="仿宋" w:hAnsi="仿宋" w:eastAsia="仿宋" w:cs="仿宋"/>
                <w:color w:val="000000" w:themeColor="text1"/>
                <w:kern w:val="0"/>
                <w:sz w:val="24"/>
                <w:szCs w:val="24"/>
                <w:lang w:eastAsia="zh-TW"/>
                <w14:textFill>
                  <w14:solidFill>
                    <w14:schemeClr w14:val="tx1"/>
                  </w14:solidFill>
                </w14:textFill>
              </w:rPr>
            </w:pPr>
            <w:r>
              <w:rPr>
                <w:rFonts w:hint="eastAsia" w:ascii="仿宋" w:hAnsi="仿宋" w:eastAsia="仿宋" w:cs="仿宋"/>
                <w:color w:val="000000" w:themeColor="text1"/>
                <w:kern w:val="0"/>
                <w:sz w:val="24"/>
                <w:szCs w:val="24"/>
                <w:lang w:eastAsia="zh-TW"/>
                <w14:textFill>
                  <w14:solidFill>
                    <w14:schemeClr w14:val="tx1"/>
                  </w14:solidFill>
                </w14:textFill>
              </w:rPr>
              <w:t>【可选】与行业企业共建的实验教学中心数</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实验办、教学办、各系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tabs>
                <w:tab w:val="left" w:pos="2257"/>
              </w:tabs>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2.3.3</w:t>
            </w:r>
          </w:p>
        </w:tc>
        <w:tc>
          <w:tcPr>
            <w:tcW w:w="5536" w:type="dxa"/>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B2毕业论文（设计）选题来自行业企业一线需要、实行校企“双导师”制情况及完成质量</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【必选】以实验、实习、工程实践和社会调查等实践性工作为基础的毕业论文（</w:t>
            </w:r>
            <w:r>
              <w:rPr>
                <w:rFonts w:hint="eastAsia" w:ascii="仿宋" w:hAnsi="仿宋" w:eastAsia="仿宋" w:cs="仿宋"/>
                <w:color w:val="000000" w:themeColor="text1"/>
                <w:sz w:val="24"/>
                <w:szCs w:val="24"/>
                <w14:textFill>
                  <w14:solidFill>
                    <w14:schemeClr w14:val="tx1"/>
                  </w14:solidFill>
                </w14:textFill>
              </w:rPr>
              <w:t>设计</w:t>
            </w:r>
            <w:r>
              <w:rPr>
                <w:rFonts w:hint="eastAsia" w:ascii="仿宋" w:hAnsi="仿宋" w:eastAsia="仿宋" w:cs="仿宋"/>
                <w:color w:val="000000" w:themeColor="text1"/>
                <w:kern w:val="0"/>
                <w:sz w:val="24"/>
                <w:szCs w:val="24"/>
                <w14:textFill>
                  <w14:solidFill>
                    <w14:schemeClr w14:val="tx1"/>
                  </w14:solidFill>
                </w14:textFill>
              </w:rPr>
              <w:t>）比例≥50%</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教学办、实验办、各系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2.4课堂教学</w:t>
            </w:r>
          </w:p>
        </w:tc>
        <w:tc>
          <w:tcPr>
            <w:tcW w:w="7088" w:type="dxa"/>
            <w:gridSpan w:val="2"/>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2.4.1 实施“以学为中心、以教为主导”的课堂教学，开展以学生学习成果为导向的教学评价情况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教学办、实验办、各系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2.4.2 推进信息技术与教学过程融合、加强信息化教学环境与资源建设情况</w:t>
            </w:r>
          </w:p>
        </w:tc>
        <w:tc>
          <w:tcPr>
            <w:tcW w:w="1946" w:type="dxa"/>
            <w:vAlign w:val="center"/>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教学办、实验办</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2.4.3 建立健全教材管理机构和工作制度情况，依照教材审核选用标准和程序选用教材情况；推进马工程重点教材统一使用情况；对教材选用工作出现负面问题的处理情况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【必选】使用马工程重点教材课程数量与学校应使用马工程重点教材课程数量的比例</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【可选】近五年公开出版的教材数</w:t>
            </w:r>
          </w:p>
        </w:tc>
        <w:tc>
          <w:tcPr>
            <w:tcW w:w="1946" w:type="dxa"/>
            <w:vAlign w:val="center"/>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2.5卓越</w:t>
            </w: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培养</w:t>
            </w:r>
          </w:p>
        </w:tc>
        <w:tc>
          <w:tcPr>
            <w:tcW w:w="1552" w:type="dxa"/>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2.5.1</w:t>
            </w:r>
          </w:p>
        </w:tc>
        <w:tc>
          <w:tcPr>
            <w:tcW w:w="5536" w:type="dxa"/>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K2产教融合卓越人才培养模式改革及其实践效果</w:t>
            </w:r>
            <w:r>
              <w:rPr>
                <w:rFonts w:hint="eastAsia" w:ascii="仿宋" w:hAnsi="仿宋" w:eastAsia="仿宋" w:cs="仿宋"/>
                <w:b/>
                <w:bCs/>
                <w:color w:val="FF0000"/>
                <w:kern w:val="0"/>
                <w:sz w:val="24"/>
                <w:szCs w:val="24"/>
              </w:rPr>
              <w:t>（*）</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【可选】产学合作协同育人项目数</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2.5.2 加强课程体系整体设计，优化公共课、专业基础课和专业课比例结构，提高课程建设规划性、系统性情况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【必选】本科生生均课程门数</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【可选】与行业企业共建、共同讲授的课程数</w:t>
            </w:r>
          </w:p>
        </w:tc>
        <w:tc>
          <w:tcPr>
            <w:tcW w:w="1946" w:type="dxa"/>
            <w:vAlign w:val="center"/>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2.5.3 新工科、新农科、新文科建设以及围绕“培育高水平教学成果”开展教研教改项目建设的举措及实施成效</w:t>
            </w:r>
            <w:r>
              <w:rPr>
                <w:rFonts w:hint="eastAsia" w:ascii="仿宋" w:hAnsi="仿宋" w:eastAsia="仿宋" w:cs="仿宋"/>
                <w:b/>
                <w:bCs/>
                <w:color w:val="FF0000"/>
                <w:kern w:val="0"/>
                <w:sz w:val="24"/>
                <w:szCs w:val="24"/>
              </w:rPr>
              <w:t>（*）</w:t>
            </w:r>
          </w:p>
        </w:tc>
        <w:tc>
          <w:tcPr>
            <w:tcW w:w="1946" w:type="dxa"/>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2.5.4 一流专业“双万计划”建设举措及成效</w:t>
            </w:r>
            <w:r>
              <w:rPr>
                <w:rFonts w:hint="eastAsia" w:ascii="仿宋" w:hAnsi="仿宋" w:eastAsia="仿宋" w:cs="仿宋"/>
                <w:b/>
                <w:bCs/>
                <w:color w:val="FF0000"/>
                <w:kern w:val="0"/>
                <w:sz w:val="24"/>
                <w:szCs w:val="24"/>
              </w:rPr>
              <w:t>（*）</w:t>
            </w:r>
          </w:p>
        </w:tc>
        <w:tc>
          <w:tcPr>
            <w:tcW w:w="1946" w:type="dxa"/>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2.5.5 一流课程“双万计划”建设举措及成效</w:t>
            </w:r>
            <w:r>
              <w:rPr>
                <w:rFonts w:hint="eastAsia" w:ascii="仿宋" w:hAnsi="仿宋" w:eastAsia="仿宋" w:cs="仿宋"/>
                <w:b/>
                <w:bCs/>
                <w:color w:val="FF0000"/>
                <w:kern w:val="0"/>
                <w:sz w:val="24"/>
                <w:szCs w:val="24"/>
              </w:rPr>
              <w:t>（*）</w:t>
            </w:r>
          </w:p>
        </w:tc>
        <w:tc>
          <w:tcPr>
            <w:tcW w:w="1946" w:type="dxa"/>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451" w:type="dxa"/>
            <w:vMerge w:val="continue"/>
            <w:shd w:val="clear" w:color="auto" w:fill="auto"/>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2.5.6 优秀教材建设举措及成效</w:t>
            </w:r>
          </w:p>
        </w:tc>
        <w:tc>
          <w:tcPr>
            <w:tcW w:w="1946" w:type="dxa"/>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51" w:type="dxa"/>
            <w:vMerge w:val="continue"/>
            <w:shd w:val="clear" w:color="auto" w:fill="auto"/>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2.6创新创业教育</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2.6.1 创新创业教育工作体系与创新创业教育平台建设情况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教学科研办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51" w:type="dxa"/>
            <w:vMerge w:val="continue"/>
            <w:shd w:val="clear" w:color="auto" w:fill="auto"/>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2.6.2 将创新创业教育贯穿于人才培养全过程、融入专业教育的举措与成效</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教学科研办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51" w:type="dxa"/>
            <w:vMerge w:val="continue"/>
            <w:shd w:val="clear" w:color="auto" w:fill="auto"/>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2.6.3 学生参与创新创业教育积极性及创新创业教育成果</w:t>
            </w:r>
            <w:r>
              <w:rPr>
                <w:rFonts w:hint="eastAsia" w:ascii="仿宋" w:hAnsi="仿宋" w:eastAsia="仿宋" w:cs="仿宋"/>
                <w:b/>
                <w:bCs/>
                <w:color w:val="FF0000"/>
                <w:kern w:val="0"/>
                <w:sz w:val="24"/>
                <w:szCs w:val="24"/>
              </w:rPr>
              <w:t>（*）</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【必选】本科生参加各级各类创新创业实践活动人数及比例</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【必选】“互联网+”大学生创新创业大赛获奖数</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【可选】省级以上学科竞赛获奖学生人次数占学生总数的比例</w:t>
            </w:r>
          </w:p>
        </w:tc>
        <w:tc>
          <w:tcPr>
            <w:tcW w:w="1946" w:type="dxa"/>
            <w:vAlign w:val="center"/>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教学科研办、学工办</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51" w:type="dxa"/>
            <w:vMerge w:val="restart"/>
            <w:shd w:val="clear" w:color="auto" w:fill="auto"/>
            <w:vAlign w:val="center"/>
          </w:tcPr>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3.教学资源与利用</w:t>
            </w:r>
          </w:p>
          <w:p>
            <w:pPr>
              <w:widowControl/>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w:t>
            </w:r>
            <w:r>
              <w:rPr>
                <w:rFonts w:hint="eastAsia" w:ascii="仿宋" w:hAnsi="仿宋" w:eastAsia="仿宋" w:cs="仿宋"/>
                <w:b/>
                <w:color w:val="000000" w:themeColor="text1"/>
                <w:w w:val="90"/>
                <w:kern w:val="0"/>
                <w:sz w:val="24"/>
                <w:szCs w:val="24"/>
                <w14:textFill>
                  <w14:solidFill>
                    <w14:schemeClr w14:val="tx1"/>
                  </w14:solidFill>
                </w14:textFill>
              </w:rPr>
              <w:t>牵头单位：实验办</w:t>
            </w:r>
            <w:r>
              <w:rPr>
                <w:rFonts w:hint="eastAsia" w:ascii="仿宋" w:hAnsi="仿宋" w:eastAsia="仿宋" w:cs="仿宋"/>
                <w:b/>
                <w:color w:val="000000" w:themeColor="text1"/>
                <w:kern w:val="0"/>
                <w:sz w:val="24"/>
                <w:szCs w:val="24"/>
                <w14:textFill>
                  <w14:solidFill>
                    <w14:schemeClr w14:val="tx1"/>
                  </w14:solidFill>
                </w14:textFill>
              </w:rPr>
              <w:t>)</w:t>
            </w: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3.2资源建设</w:t>
            </w:r>
          </w:p>
        </w:tc>
        <w:tc>
          <w:tcPr>
            <w:tcW w:w="1552" w:type="dxa"/>
            <w:shd w:val="clear" w:color="auto" w:fill="auto"/>
            <w:vAlign w:val="center"/>
          </w:tcPr>
          <w:p>
            <w:pPr>
              <w:tabs>
                <w:tab w:val="left" w:pos="2257"/>
              </w:tabs>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3.2.1</w:t>
            </w:r>
          </w:p>
        </w:tc>
        <w:tc>
          <w:tcPr>
            <w:tcW w:w="5536" w:type="dxa"/>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B2行业企业课程资源库、真实项目案例库建设及共享情况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w:t>
            </w:r>
            <w:r>
              <w:rPr>
                <w:rFonts w:hint="eastAsia" w:ascii="仿宋" w:hAnsi="仿宋" w:eastAsia="仿宋" w:cs="仿宋"/>
                <w:color w:val="000000" w:themeColor="text1"/>
                <w:kern w:val="0"/>
                <w:sz w:val="24"/>
                <w:szCs w:val="24"/>
                <w:lang w:val="en-US" w:eastAsia="zh-CN"/>
                <w14:textFill>
                  <w14:solidFill>
                    <w14:schemeClr w14:val="tx1"/>
                  </w14:solidFill>
                </w14:textFill>
              </w:rPr>
              <w:t>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1" w:type="dxa"/>
            <w:vMerge w:val="continue"/>
            <w:shd w:val="clear" w:color="auto" w:fill="auto"/>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3.2.2</w:t>
            </w:r>
          </w:p>
        </w:tc>
        <w:tc>
          <w:tcPr>
            <w:tcW w:w="5536" w:type="dxa"/>
            <w:shd w:val="clear" w:color="auto" w:fill="auto"/>
          </w:tcPr>
          <w:p>
            <w:pPr>
              <w:tabs>
                <w:tab w:val="left" w:pos="2257"/>
              </w:tabs>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B2面向行业企业实际、产业发展需要的应用型教材建设情况</w:t>
            </w:r>
            <w:r>
              <w:rPr>
                <w:rFonts w:hint="eastAsia" w:ascii="仿宋" w:hAnsi="仿宋" w:eastAsia="仿宋" w:cs="仿宋"/>
                <w:b/>
                <w:bCs/>
                <w:color w:val="FF0000"/>
                <w:kern w:val="0"/>
                <w:sz w:val="24"/>
                <w:szCs w:val="24"/>
              </w:rPr>
              <w:t>（*）</w:t>
            </w:r>
          </w:p>
        </w:tc>
        <w:tc>
          <w:tcPr>
            <w:tcW w:w="1946" w:type="dxa"/>
            <w:vAlign w:val="center"/>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w:t>
            </w:r>
            <w:r>
              <w:rPr>
                <w:rFonts w:hint="eastAsia" w:ascii="仿宋" w:hAnsi="仿宋" w:eastAsia="仿宋" w:cs="仿宋"/>
                <w:color w:val="000000" w:themeColor="text1"/>
                <w:kern w:val="0"/>
                <w:sz w:val="24"/>
                <w:szCs w:val="24"/>
                <w:lang w:val="en-US" w:eastAsia="zh-CN"/>
                <w14:textFill>
                  <w14:solidFill>
                    <w14:schemeClr w14:val="tx1"/>
                  </w14:solidFill>
                </w14:textFill>
              </w:rPr>
              <w:t>各系</w:t>
            </w:r>
          </w:p>
        </w:tc>
        <w:tc>
          <w:tcPr>
            <w:tcW w:w="1418" w:type="dxa"/>
            <w:vAlign w:val="center"/>
          </w:tcPr>
          <w:p>
            <w:pPr>
              <w:tabs>
                <w:tab w:val="left" w:pos="2257"/>
              </w:tabs>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51" w:type="dxa"/>
            <w:vMerge w:val="continue"/>
            <w:shd w:val="clear" w:color="auto" w:fill="auto"/>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3.2.3</w:t>
            </w:r>
          </w:p>
        </w:tc>
        <w:tc>
          <w:tcPr>
            <w:tcW w:w="5536" w:type="dxa"/>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适应“互联网+”课程教学需要的智慧教室、智能实验室等教学设施和条件建设及使用效果</w:t>
            </w:r>
            <w:r>
              <w:rPr>
                <w:rFonts w:hint="eastAsia" w:ascii="仿宋" w:hAnsi="仿宋" w:eastAsia="仿宋" w:cs="仿宋"/>
                <w:b/>
                <w:bCs/>
                <w:color w:val="FF0000"/>
                <w:kern w:val="0"/>
                <w:sz w:val="24"/>
                <w:szCs w:val="24"/>
              </w:rPr>
              <w:t>（*）</w:t>
            </w:r>
          </w:p>
        </w:tc>
        <w:tc>
          <w:tcPr>
            <w:tcW w:w="1946" w:type="dxa"/>
            <w:vAlign w:val="center"/>
          </w:tcPr>
          <w:p>
            <w:pPr>
              <w:tabs>
                <w:tab w:val="left" w:pos="2257"/>
              </w:tabs>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w w:val="90"/>
                <w:kern w:val="0"/>
                <w:sz w:val="24"/>
                <w:szCs w:val="24"/>
                <w14:textFill>
                  <w14:solidFill>
                    <w14:schemeClr w14:val="tx1"/>
                  </w14:solidFill>
                </w14:textFill>
              </w:rPr>
              <w:t>教学科研办、实验办</w:t>
            </w:r>
          </w:p>
        </w:tc>
        <w:tc>
          <w:tcPr>
            <w:tcW w:w="1418" w:type="dxa"/>
            <w:vAlign w:val="center"/>
          </w:tcPr>
          <w:p>
            <w:pPr>
              <w:tabs>
                <w:tab w:val="left" w:pos="2257"/>
              </w:tabs>
              <w:spacing w:line="300" w:lineRule="exact"/>
              <w:jc w:val="center"/>
              <w:rPr>
                <w:rFonts w:hint="default" w:ascii="仿宋" w:hAnsi="仿宋" w:eastAsia="仿宋" w:cs="仿宋"/>
                <w:color w:val="000000" w:themeColor="text1"/>
                <w:w w:val="90"/>
                <w:kern w:val="0"/>
                <w:sz w:val="24"/>
                <w:szCs w:val="24"/>
                <w:lang w:val="en-US" w:eastAsia="zh-CN"/>
                <w14:textFill>
                  <w14:solidFill>
                    <w14:schemeClr w14:val="tx1"/>
                  </w14:solidFill>
                </w14:textFill>
              </w:rPr>
            </w:pPr>
            <w:r>
              <w:rPr>
                <w:rFonts w:hint="eastAsia" w:ascii="仿宋" w:hAnsi="仿宋" w:eastAsia="仿宋" w:cs="仿宋"/>
                <w:color w:val="000000" w:themeColor="text1"/>
                <w:w w:val="90"/>
                <w:kern w:val="0"/>
                <w:sz w:val="24"/>
                <w:szCs w:val="24"/>
                <w:lang w:eastAsia="zh-CN"/>
                <w14:textFill>
                  <w14:solidFill>
                    <w14:schemeClr w14:val="tx1"/>
                  </w14:solidFill>
                </w14:textFill>
              </w:rPr>
              <w:t>杨时骐、</w:t>
            </w:r>
            <w:r>
              <w:rPr>
                <w:rFonts w:hint="eastAsia" w:ascii="仿宋" w:hAnsi="仿宋" w:eastAsia="仿宋" w:cs="仿宋"/>
                <w:color w:val="000000" w:themeColor="text1"/>
                <w:w w:val="90"/>
                <w:kern w:val="0"/>
                <w:sz w:val="24"/>
                <w:szCs w:val="24"/>
                <w:lang w:val="en-US"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1" w:type="dxa"/>
            <w:vMerge w:val="continue"/>
            <w:shd w:val="clear" w:color="auto" w:fill="auto"/>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tabs>
                <w:tab w:val="left" w:pos="2257"/>
              </w:tabs>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3.2.4</w:t>
            </w:r>
          </w:p>
        </w:tc>
        <w:tc>
          <w:tcPr>
            <w:tcW w:w="5536" w:type="dxa"/>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K2产业技术发展成果、产学研合作项目转化为教学资源情况(科研反哺教学)</w:t>
            </w:r>
            <w:r>
              <w:rPr>
                <w:rFonts w:hint="eastAsia" w:ascii="仿宋" w:hAnsi="仿宋" w:eastAsia="仿宋" w:cs="仿宋"/>
                <w:b/>
                <w:bCs/>
                <w:color w:val="FF0000"/>
                <w:kern w:val="0"/>
                <w:sz w:val="24"/>
                <w:szCs w:val="24"/>
              </w:rPr>
              <w:t xml:space="preserve"> （*）</w:t>
            </w:r>
          </w:p>
        </w:tc>
        <w:tc>
          <w:tcPr>
            <w:tcW w:w="1946" w:type="dxa"/>
            <w:vAlign w:val="center"/>
          </w:tcPr>
          <w:p>
            <w:pPr>
              <w:widowControl/>
              <w:spacing w:line="300" w:lineRule="exact"/>
              <w:jc w:val="center"/>
              <w:rPr>
                <w:rFonts w:ascii="仿宋" w:hAnsi="仿宋" w:eastAsia="微软雅黑"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教学科研办、实验办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51" w:type="dxa"/>
            <w:vMerge w:val="restart"/>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4.教师队伍</w:t>
            </w:r>
          </w:p>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w:t>
            </w:r>
            <w:r>
              <w:rPr>
                <w:rFonts w:hint="eastAsia" w:ascii="仿宋" w:hAnsi="仿宋" w:eastAsia="仿宋" w:cs="仿宋"/>
                <w:b/>
                <w:color w:val="000000" w:themeColor="text1"/>
                <w:w w:val="90"/>
                <w:kern w:val="0"/>
                <w:sz w:val="24"/>
                <w:szCs w:val="24"/>
                <w14:textFill>
                  <w14:solidFill>
                    <w14:schemeClr w14:val="tx1"/>
                  </w14:solidFill>
                </w14:textFill>
              </w:rPr>
              <w:t>牵头单位：教学科研办</w:t>
            </w:r>
            <w:r>
              <w:rPr>
                <w:rFonts w:hint="eastAsia" w:ascii="仿宋" w:hAnsi="仿宋" w:eastAsia="仿宋" w:cs="仿宋"/>
                <w:b/>
                <w:color w:val="000000" w:themeColor="text1"/>
                <w:kern w:val="0"/>
                <w:sz w:val="24"/>
                <w:szCs w:val="24"/>
                <w14:textFill>
                  <w14:solidFill>
                    <w14:schemeClr w14:val="tx1"/>
                  </w14:solidFill>
                </w14:textFill>
              </w:rPr>
              <w:t>)</w:t>
            </w: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4.1师德师风</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4.1.1 保障把教师思想政治建设放在首位、把师德师风作为评价教师的第一标准，强化师德教育、加强师德宣传、严格考核管理、加强制度建设，落实师德考核贯穿于教育教学全过程等方面的情况</w:t>
            </w:r>
          </w:p>
        </w:tc>
        <w:tc>
          <w:tcPr>
            <w:tcW w:w="1946"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党政办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阮若林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4.1.2 教师在争做“四有”好老师、四个“引路人”，自觉遵守《新时代高校教师职业行为十项准则》等方面的情况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党政办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阮若林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4.2教学能力</w:t>
            </w:r>
          </w:p>
        </w:tc>
        <w:tc>
          <w:tcPr>
            <w:tcW w:w="1552" w:type="dxa"/>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4.2.1</w:t>
            </w:r>
          </w:p>
        </w:tc>
        <w:tc>
          <w:tcPr>
            <w:tcW w:w="5536" w:type="dxa"/>
            <w:shd w:val="clear" w:color="auto" w:fill="auto"/>
            <w:vAlign w:val="center"/>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B2专任教师的专业水平、教学能力、产学研用能力</w:t>
            </w:r>
          </w:p>
        </w:tc>
        <w:tc>
          <w:tcPr>
            <w:tcW w:w="1946" w:type="dxa"/>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教学科研办、各系</w:t>
            </w:r>
          </w:p>
        </w:tc>
        <w:tc>
          <w:tcPr>
            <w:tcW w:w="1418" w:type="dxa"/>
            <w:vAlign w:val="center"/>
          </w:tcPr>
          <w:p>
            <w:pPr>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r>
              <w:rPr>
                <w:rFonts w:hint="eastAsia" w:ascii="仿宋" w:hAnsi="仿宋" w:eastAsia="仿宋" w:cs="仿宋"/>
                <w:color w:val="000000" w:themeColor="text1"/>
                <w:kern w:val="0"/>
                <w:sz w:val="24"/>
                <w:szCs w:val="24"/>
                <w:lang w:val="en-US"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4.2.2 提升教师教书育人能力和水平的措施</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4.3教学投入</w:t>
            </w:r>
          </w:p>
        </w:tc>
        <w:tc>
          <w:tcPr>
            <w:tcW w:w="7088" w:type="dxa"/>
            <w:gridSpan w:val="2"/>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4.3.1 教师投入教学、教授全员为本科生授课的激励与约束机制建立情况及实施效果</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【必选】主讲本科课程教授占教授总数的比例</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【必选】教授主讲本科课程人均学时数</w:t>
            </w:r>
          </w:p>
        </w:tc>
        <w:tc>
          <w:tcPr>
            <w:tcW w:w="1946"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1" w:type="dxa"/>
            <w:vMerge w:val="continue"/>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4.3.2 教师特别是教授和副教授开展教学研究、参与教学改革与建设情况及成效</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【必选】教授、副教授担任专业负责人的专业占专业总数的比例</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51" w:type="dxa"/>
            <w:vMerge w:val="continue"/>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4.4教师发展</w:t>
            </w:r>
          </w:p>
        </w:tc>
        <w:tc>
          <w:tcPr>
            <w:tcW w:w="7088" w:type="dxa"/>
            <w:gridSpan w:val="2"/>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4.4.1 重视教师培训与职业发展，把习近平总书记关于教育的重要论述作为核心培训课程，把《习近平总书记教育重要论述讲义》作为核心培训教材，加强思政与党务工作队伍建设的举措与成效</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党政办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阮若林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451" w:type="dxa"/>
            <w:vMerge w:val="continue"/>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4.4.2 加强教师教学发展中心、基层教学组织和青年教师队伍建设举措与成效</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【必选】设有基层教学组织的专业占专业总数的比例</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【可选】教师发展中心培训本校教师的比例</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51" w:type="dxa"/>
            <w:vMerge w:val="continue"/>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4.4.3</w:t>
            </w:r>
          </w:p>
        </w:tc>
        <w:tc>
          <w:tcPr>
            <w:tcW w:w="5536" w:type="dxa"/>
            <w:shd w:val="clear" w:color="auto" w:fill="auto"/>
            <w:vAlign w:val="center"/>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B2提升教师教学能力、产学研用能力、信息技术应用能力，鼓励教师到业界实践、挂职和承担横向课题的政策措施</w:t>
            </w:r>
          </w:p>
        </w:tc>
        <w:tc>
          <w:tcPr>
            <w:tcW w:w="1946" w:type="dxa"/>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教学科研办</w:t>
            </w:r>
          </w:p>
        </w:tc>
        <w:tc>
          <w:tcPr>
            <w:tcW w:w="1418" w:type="dxa"/>
            <w:vAlign w:val="center"/>
          </w:tcPr>
          <w:p>
            <w:pPr>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51" w:type="dxa"/>
            <w:vMerge w:val="continue"/>
            <w:shd w:val="clear" w:color="auto" w:fill="auto"/>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4.4.4</w:t>
            </w:r>
          </w:p>
        </w:tc>
        <w:tc>
          <w:tcPr>
            <w:tcW w:w="5536" w:type="dxa"/>
            <w:shd w:val="clear" w:color="auto" w:fill="auto"/>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B2双师双能型教师队伍和实践教学教师队伍管理与建设情况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【可选】专任教师中双师双能型教师的比例</w:t>
            </w:r>
            <w:r>
              <w:rPr>
                <w:rFonts w:hint="eastAsia" w:ascii="仿宋" w:hAnsi="仿宋" w:eastAsia="仿宋" w:cs="仿宋"/>
                <w:b/>
                <w:bCs/>
                <w:color w:val="FF0000"/>
                <w:kern w:val="0"/>
                <w:sz w:val="24"/>
                <w:szCs w:val="24"/>
              </w:rPr>
              <w:t>（*）</w:t>
            </w:r>
          </w:p>
        </w:tc>
        <w:tc>
          <w:tcPr>
            <w:tcW w:w="1946" w:type="dxa"/>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教学科研办</w:t>
            </w:r>
          </w:p>
        </w:tc>
        <w:tc>
          <w:tcPr>
            <w:tcW w:w="1418" w:type="dxa"/>
            <w:vAlign w:val="center"/>
          </w:tcPr>
          <w:p>
            <w:pPr>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51" w:type="dxa"/>
            <w:vMerge w:val="continue"/>
            <w:shd w:val="clear" w:color="auto" w:fill="auto"/>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4.4.5 教师赴国（境）外交流、访学、参加国际会议、合作研究等情况</w:t>
            </w:r>
          </w:p>
        </w:tc>
        <w:tc>
          <w:tcPr>
            <w:tcW w:w="1946" w:type="dxa"/>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教学科研办</w:t>
            </w:r>
          </w:p>
        </w:tc>
        <w:tc>
          <w:tcPr>
            <w:tcW w:w="1418" w:type="dxa"/>
            <w:vAlign w:val="center"/>
          </w:tcPr>
          <w:p>
            <w:pPr>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5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5.学生发展</w:t>
            </w: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(牵头单位：学工办)</w:t>
            </w:r>
          </w:p>
        </w:tc>
        <w:tc>
          <w:tcPr>
            <w:tcW w:w="1701" w:type="dxa"/>
            <w:vMerge w:val="restart"/>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5.1理想信念</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5.1.1 学生理想信念和品德修养</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5.1.2 加强学风建设，教育引导学生爱国、励志、求真、力行情况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5.2学业成绩及综合素质</w:t>
            </w:r>
          </w:p>
        </w:tc>
        <w:tc>
          <w:tcPr>
            <w:tcW w:w="1552" w:type="dxa"/>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5.2.1</w:t>
            </w:r>
          </w:p>
        </w:tc>
        <w:tc>
          <w:tcPr>
            <w:tcW w:w="5536" w:type="dxa"/>
            <w:shd w:val="clear" w:color="auto" w:fill="auto"/>
            <w:vAlign w:val="center"/>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B2学生综合应用知识能力和独立解决生产、管理和服务中实际问题能力</w:t>
            </w:r>
          </w:p>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【可选】在学期间获得国家认可的职业资格证书学生数占在校生数的比例</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【可选】本科生以第一作者/通讯作者在公开发行期刊发表的论文数和本科生获批国家发明专利数</w:t>
            </w:r>
          </w:p>
        </w:tc>
        <w:tc>
          <w:tcPr>
            <w:tcW w:w="1946" w:type="dxa"/>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5.2.2 开展通识教育、体育、美育、劳动教育的措施与成效</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【必选】体质测试达标率</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5.2.3 社团活动、校园文化、社会实践、志愿服务等活动开展情况及育人效果</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【可选】省级以上艺术展演、体育竞赛参赛获奖学生人次数占学生总数的比例</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学生办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5.3国际</w:t>
            </w: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视野</w:t>
            </w:r>
          </w:p>
        </w:tc>
        <w:tc>
          <w:tcPr>
            <w:tcW w:w="7088" w:type="dxa"/>
            <w:gridSpan w:val="2"/>
            <w:shd w:val="clear" w:color="auto" w:fill="auto"/>
            <w:vAlign w:val="center"/>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5.3.1 与国（境）外大学合作办学、合作育人以及与本科教育相关的国际交流活动和来华留学生教育开展情况</w:t>
            </w:r>
          </w:p>
        </w:tc>
        <w:tc>
          <w:tcPr>
            <w:tcW w:w="1946" w:type="dxa"/>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w:t>
            </w:r>
          </w:p>
        </w:tc>
        <w:tc>
          <w:tcPr>
            <w:tcW w:w="1418" w:type="dxa"/>
            <w:vAlign w:val="center"/>
          </w:tcPr>
          <w:p>
            <w:pPr>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5.3.2 国际先进教育理念、优质教育资源的吸收内化、培育和输出共享情况</w:t>
            </w:r>
            <w:r>
              <w:rPr>
                <w:rFonts w:hint="eastAsia" w:ascii="仿宋" w:hAnsi="仿宋" w:eastAsia="仿宋" w:cs="仿宋"/>
                <w:b/>
                <w:bCs/>
                <w:color w:val="FF0000"/>
                <w:kern w:val="0"/>
                <w:sz w:val="24"/>
                <w:szCs w:val="24"/>
              </w:rPr>
              <w:t>（*）</w:t>
            </w:r>
          </w:p>
        </w:tc>
        <w:tc>
          <w:tcPr>
            <w:tcW w:w="1946" w:type="dxa"/>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w:t>
            </w:r>
          </w:p>
        </w:tc>
        <w:tc>
          <w:tcPr>
            <w:tcW w:w="1418" w:type="dxa"/>
            <w:vAlign w:val="center"/>
          </w:tcPr>
          <w:p>
            <w:pPr>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5.3.3 学生赴国（境）外交流、访学、实习、竞赛、参加国际会议、合作研究等情况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【可选】在学期间赴国（境）外交流、访学、实习的学生数占在校生数的比例</w:t>
            </w:r>
          </w:p>
        </w:tc>
        <w:tc>
          <w:tcPr>
            <w:tcW w:w="1946"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教学科研</w:t>
            </w:r>
            <w:r>
              <w:rPr>
                <w:rFonts w:hint="eastAsia" w:ascii="仿宋" w:hAnsi="仿宋" w:eastAsia="仿宋" w:cs="仿宋"/>
                <w:color w:val="000000" w:themeColor="text1"/>
                <w:kern w:val="0"/>
                <w:sz w:val="24"/>
                <w:szCs w:val="24"/>
                <w14:textFill>
                  <w14:solidFill>
                    <w14:schemeClr w14:val="tx1"/>
                  </w14:solidFill>
                </w14:textFill>
              </w:rPr>
              <w:t>办</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学工办</w:t>
            </w:r>
          </w:p>
        </w:tc>
        <w:tc>
          <w:tcPr>
            <w:tcW w:w="1418"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r>
              <w:rPr>
                <w:rFonts w:hint="eastAsia" w:ascii="仿宋" w:hAnsi="仿宋" w:eastAsia="仿宋" w:cs="仿宋"/>
                <w:color w:val="000000" w:themeColor="text1"/>
                <w:kern w:val="0"/>
                <w:sz w:val="24"/>
                <w:szCs w:val="24"/>
                <w:lang w:val="en-US" w:eastAsia="zh-CN"/>
                <w14:textFill>
                  <w14:solidFill>
                    <w14:schemeClr w14:val="tx1"/>
                  </w14:solidFill>
                </w14:textFill>
              </w:rPr>
              <w:t>江伟、余维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5.4支持服务</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5.4.1 领导干部和教师参与学生工作的情况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【必选】专职辅导员岗位与在校生比例≥1:200</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【必选】专职从事心理健康教育教师与在校生比例≥1:4000且至少2名</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【必选】专职就业指导教师和专职就业工作人员与应届毕业生比例≥1:500</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5.4.3 与学分制改革和弹性学习相适应的管理制度、辅修专业制度、双学士学位制度建设情况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 5.4.4 探索学生成长增值评价，重视学生学习体验、自我发展能力和职业发展能力的具体措施及实施成效</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5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6.质量保障</w:t>
            </w: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(牵头单位：教学办)</w:t>
            </w:r>
          </w:p>
        </w:tc>
        <w:tc>
          <w:tcPr>
            <w:tcW w:w="1701" w:type="dxa"/>
            <w:vMerge w:val="restart"/>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6.1质量管理</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6.1.1 学校质量标准、质量管理制度、质量保障机构及队伍建设情况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6.1.2 加强考试管理、严肃考试纪律、完善过程性考核与结果性考核有机结合的学业考评制度、严把考试和毕业出口关的情况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6.2质量改进</w:t>
            </w:r>
          </w:p>
        </w:tc>
        <w:tc>
          <w:tcPr>
            <w:tcW w:w="7088" w:type="dxa"/>
            <w:gridSpan w:val="2"/>
            <w:shd w:val="clear" w:color="auto" w:fill="auto"/>
            <w:vAlign w:val="center"/>
          </w:tcPr>
          <w:p>
            <w:pPr>
              <w:widowControl/>
              <w:spacing w:line="300" w:lineRule="exact"/>
              <w:rPr>
                <w:rFonts w:ascii="仿宋" w:hAnsi="仿宋" w:eastAsia="仿宋" w:cs="仿宋"/>
                <w:color w:val="000000" w:themeColor="text1"/>
                <w:spacing w:val="-2"/>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6.2.1 学校内部质量评估制度的建立及接受外部评估（含院校评估、专业认证等）情况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6.2.2 质量持续改进机制建设与改进效果</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6.3质量文化</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6.3.1 自觉、自省、自律、自查、自纠的质量文化建设情况</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6.3.2 质量信息公开制度及年度质量报告</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5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7.教学成效</w:t>
            </w:r>
          </w:p>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(牵头单位：学工办)</w:t>
            </w: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7.1达成度</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7.1.1 学校各专业人才培养目标的达成情况</w:t>
            </w:r>
          </w:p>
        </w:tc>
        <w:tc>
          <w:tcPr>
            <w:tcW w:w="1946"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学工办</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7.1.2 毕业生质量持续跟踪评价机制建立情况及跟踪评价结果</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7.2适应度</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7.2.1 学校本科生源状况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552" w:type="dxa"/>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7.2.2</w:t>
            </w:r>
          </w:p>
        </w:tc>
        <w:tc>
          <w:tcPr>
            <w:tcW w:w="5536" w:type="dxa"/>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B2毕业生面向学校所服务的区域和行业企业就业情况、就业质量及职业发展情况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【可选】升学率（含国内与国外）</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【可选】应届本科生初次就业率及结构</w:t>
            </w:r>
          </w:p>
        </w:tc>
        <w:tc>
          <w:tcPr>
            <w:tcW w:w="1946"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7.3保障度</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7.3.1 教学经费以及教室、实验室、图书馆、体育场馆、艺术场馆等资源条件满足教学需要情况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【必选】生均本科实验经费（元）</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【必选】生均本科实习经费（元）</w:t>
            </w:r>
          </w:p>
        </w:tc>
        <w:tc>
          <w:tcPr>
            <w:tcW w:w="1946"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实验办</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学工办</w:t>
            </w:r>
          </w:p>
        </w:tc>
        <w:tc>
          <w:tcPr>
            <w:tcW w:w="1418" w:type="dxa"/>
            <w:vAlign w:val="center"/>
          </w:tcPr>
          <w:p>
            <w:pPr>
              <w:widowControl/>
              <w:spacing w:line="300" w:lineRule="exact"/>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r>
              <w:rPr>
                <w:rFonts w:hint="eastAsia" w:ascii="仿宋" w:hAnsi="仿宋" w:eastAsia="仿宋" w:cs="仿宋"/>
                <w:color w:val="000000" w:themeColor="text1"/>
                <w:kern w:val="0"/>
                <w:sz w:val="24"/>
                <w:szCs w:val="24"/>
                <w:lang w:val="en-US"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7.3.2 教师的数量、结构、教学水平、产学研用能力、国际视野、教学投入等满足人才培养需要情况</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【必选】生师比</w:t>
            </w:r>
            <w:r>
              <w:rPr>
                <w:rFonts w:hint="eastAsia" w:ascii="仿宋" w:hAnsi="仿宋" w:eastAsia="仿宋" w:cs="仿宋"/>
                <w:color w:val="000000" w:themeColor="text1"/>
                <w:sz w:val="24"/>
                <w:szCs w:val="24"/>
                <w14:textFill>
                  <w14:solidFill>
                    <w14:schemeClr w14:val="tx1"/>
                  </w14:solidFill>
                </w14:textFill>
              </w:rPr>
              <w:t>（要求见备注8）</w:t>
            </w:r>
          </w:p>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【必选】具有硕士学位、博士学位教师占专任教师比例≥50%</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教学科研办</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杨时骐、</w:t>
            </w:r>
            <w:r>
              <w:rPr>
                <w:rFonts w:hint="eastAsia" w:ascii="仿宋" w:hAnsi="仿宋" w:eastAsia="仿宋" w:cs="仿宋"/>
                <w:color w:val="000000" w:themeColor="text1"/>
                <w:kern w:val="0"/>
                <w:sz w:val="24"/>
                <w:szCs w:val="24"/>
                <w:lang w:eastAsia="zh-CN"/>
                <w14:textFill>
                  <w14:solidFill>
                    <w14:schemeClr w14:val="tx1"/>
                  </w14:solidFill>
                </w14:textFill>
              </w:rPr>
              <w:t>余维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7.4有效度</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7.4.1 学校人才培养各环节有序运行情况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7.4.2 学校人才培养工作持续改进、持续提升情况</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教学办、各系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杨时骐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51" w:type="dxa"/>
            <w:vMerge w:val="continue"/>
            <w:shd w:val="clear" w:color="auto" w:fill="auto"/>
            <w:vAlign w:val="center"/>
          </w:tcPr>
          <w:p>
            <w:pPr>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7.4.3 近五年专业领域的优秀毕业生十个典型案例及培养经验</w:t>
            </w:r>
            <w:r>
              <w:rPr>
                <w:rFonts w:hint="eastAsia" w:ascii="仿宋" w:hAnsi="仿宋" w:eastAsia="仿宋" w:cs="仿宋"/>
                <w:b/>
                <w:bCs/>
                <w:color w:val="FF0000"/>
                <w:kern w:val="0"/>
                <w:sz w:val="24"/>
                <w:szCs w:val="24"/>
              </w:rPr>
              <w:t>（*）</w:t>
            </w:r>
          </w:p>
        </w:tc>
        <w:tc>
          <w:tcPr>
            <w:tcW w:w="1946" w:type="dxa"/>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451" w:type="dxa"/>
            <w:vMerge w:val="continue"/>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p>
        </w:tc>
        <w:tc>
          <w:tcPr>
            <w:tcW w:w="1701" w:type="dxa"/>
            <w:vMerge w:val="restart"/>
            <w:shd w:val="clear" w:color="auto" w:fill="auto"/>
            <w:vAlign w:val="center"/>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7.5满意度</w:t>
            </w: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7.5.1 学生（毕业生与在校生）对学习与成长的满意度</w:t>
            </w:r>
          </w:p>
        </w:tc>
        <w:tc>
          <w:tcPr>
            <w:tcW w:w="1946" w:type="dxa"/>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451" w:type="dxa"/>
            <w:vMerge w:val="continue"/>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7.5.2 教师对学校教育教学工作的满意度</w:t>
            </w:r>
            <w:r>
              <w:rPr>
                <w:rFonts w:hint="eastAsia" w:ascii="仿宋" w:hAnsi="仿宋" w:eastAsia="仿宋" w:cs="仿宋"/>
                <w:b/>
                <w:bCs/>
                <w:color w:val="FF0000"/>
                <w:kern w:val="0"/>
                <w:sz w:val="24"/>
                <w:szCs w:val="24"/>
              </w:rPr>
              <w:t>（*）</w:t>
            </w:r>
          </w:p>
        </w:tc>
        <w:tc>
          <w:tcPr>
            <w:tcW w:w="1946" w:type="dxa"/>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451" w:type="dxa"/>
            <w:vMerge w:val="continue"/>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1701" w:type="dxa"/>
            <w:vMerge w:val="continue"/>
            <w:shd w:val="clear" w:color="auto" w:fill="auto"/>
            <w:vAlign w:val="center"/>
          </w:tcPr>
          <w:p>
            <w:pPr>
              <w:widowControl/>
              <w:spacing w:line="300" w:lineRule="exact"/>
              <w:jc w:val="left"/>
              <w:rPr>
                <w:rFonts w:ascii="仿宋" w:hAnsi="仿宋" w:eastAsia="仿宋" w:cs="仿宋"/>
                <w:color w:val="000000" w:themeColor="text1"/>
                <w:kern w:val="0"/>
                <w:sz w:val="24"/>
                <w:szCs w:val="24"/>
                <w14:textFill>
                  <w14:solidFill>
                    <w14:schemeClr w14:val="tx1"/>
                  </w14:solidFill>
                </w14:textFill>
              </w:rPr>
            </w:pPr>
          </w:p>
        </w:tc>
        <w:tc>
          <w:tcPr>
            <w:tcW w:w="7088" w:type="dxa"/>
            <w:gridSpan w:val="2"/>
            <w:shd w:val="clear" w:color="auto" w:fill="auto"/>
            <w:vAlign w:val="center"/>
          </w:tcPr>
          <w:p>
            <w:pPr>
              <w:widowControl/>
              <w:spacing w:line="3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7.5.3 用人单位的满意度</w:t>
            </w:r>
          </w:p>
        </w:tc>
        <w:tc>
          <w:tcPr>
            <w:tcW w:w="1946" w:type="dxa"/>
          </w:tcPr>
          <w:p>
            <w:pPr>
              <w:widowControl/>
              <w:spacing w:line="300" w:lineRule="exact"/>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学工办、各系</w:t>
            </w:r>
          </w:p>
        </w:tc>
        <w:tc>
          <w:tcPr>
            <w:tcW w:w="1418" w:type="dxa"/>
            <w:vAlign w:val="center"/>
          </w:tcPr>
          <w:p>
            <w:pPr>
              <w:widowControl/>
              <w:spacing w:line="300" w:lineRule="exact"/>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江伟</w:t>
            </w:r>
          </w:p>
        </w:tc>
      </w:tr>
    </w:tbl>
    <w:p>
      <w:pPr>
        <w:spacing w:line="300" w:lineRule="exact"/>
        <w:rPr>
          <w:rFonts w:ascii="Times New Roman" w:hAnsi="Times New Roman" w:cs="Times New Roman"/>
          <w:b/>
          <w:kern w:val="0"/>
          <w:szCs w:val="21"/>
        </w:rPr>
      </w:pPr>
    </w:p>
    <w:p>
      <w:pPr>
        <w:spacing w:line="360" w:lineRule="auto"/>
        <w:rPr>
          <w:rFonts w:ascii="仿宋" w:hAnsi="仿宋" w:eastAsia="仿宋" w:cs="仿宋"/>
          <w:b/>
          <w:kern w:val="0"/>
          <w:sz w:val="24"/>
          <w:szCs w:val="24"/>
        </w:rPr>
      </w:pPr>
      <w:r>
        <w:rPr>
          <w:rFonts w:hint="eastAsia" w:ascii="仿宋" w:hAnsi="仿宋" w:eastAsia="仿宋" w:cs="仿宋"/>
          <w:b/>
          <w:kern w:val="0"/>
          <w:sz w:val="24"/>
          <w:szCs w:val="24"/>
        </w:rPr>
        <w:t>备注：</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1.第二类审核评估分为三种，我校根据自身实际情况，选择第二类中的第二种。</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2.二级指标和审核重点包括统一必选项、类型必选项、特色可选项、首评限选项。</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——“统一必选项”无特殊标识，所有高校必须选择；</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——“类型必选项”标识“B”，选择第二种的高校须统一选择“B2”；</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——“特色可选项”标识“K”，高校可根据办学定位和人才培养目标自主选择，其中：第二种与“K2”选项对应；第三种原则上与“K2”选项对应；</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——“首评限选项”标识“X”（已删除）。</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3.审核重点中定量指标的具体要求可参考国家相关标准。其中，【必选】是指该定量指标学校必须选择；【可选】是指该定量指标学校可根据自身发展需要和实际情况自主选择至少8项。</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4.表中定量指标计算原则上参照《中国教育监测与评价统计指标体系（2020年版）》（教发〔2020〕6号）。</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生均年教学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年新增教学科研仪器设备所占比例（参照教育部教发〔2004〕2号文件）：年新增教学科研仪器设备所占比例≥10%。凡教学仪器设备总值超过1亿元的高校，当年新增教学仪器设备值超过1000万元，该项指标即为合格。</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7.生均教学科研仪器设备值=普通高校教学与科研仪器设备总资产值/折合在校生数（参照教育部教发〔2004〕2号文件），综合、师范、民族院校，工科、农、林院校和医学院校≥5000元/生。</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8.生师比=折合在校生数/专任教师总数（参照教育部教发〔2004〕2号文件），综合、师范、民族院校，工科、农、林院校和语文、财经、政法院校≤18:1。</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headerReference r:id="rId3" w:type="default"/>
      <w:footerReference r:id="rId4" w:type="default"/>
      <w:pgSz w:w="16838" w:h="11906" w:orient="landscape"/>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D4A969-9F5A-46D9-9890-D170B8EEB7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42F19191-3C12-443A-8BD2-D39101ED3BDE}"/>
  </w:font>
  <w:font w:name="仿宋">
    <w:panose1 w:val="02010609060101010101"/>
    <w:charset w:val="86"/>
    <w:family w:val="modern"/>
    <w:pitch w:val="default"/>
    <w:sig w:usb0="800002BF" w:usb1="38CF7CFA" w:usb2="00000016" w:usb3="00000000" w:csb0="00040001" w:csb1="00000000"/>
    <w:embedRegular r:id="rId3" w:fontKey="{1ECF5695-F4C9-46C3-A781-8B7DF392E1F0}"/>
  </w:font>
  <w:font w:name="方正小标宋_GBK">
    <w:altName w:val="Arial Unicode MS"/>
    <w:panose1 w:val="00000000000000000000"/>
    <w:charset w:val="86"/>
    <w:family w:val="script"/>
    <w:pitch w:val="default"/>
    <w:sig w:usb0="00000000" w:usb1="00000000" w:usb2="00082016" w:usb3="00000000" w:csb0="00040001" w:csb1="00000000"/>
    <w:embedRegular r:id="rId4" w:fontKey="{2D6C4B8D-3F61-4389-A336-CF7476671E04}"/>
  </w:font>
  <w:font w:name="微软雅黑">
    <w:panose1 w:val="020B0503020204020204"/>
    <w:charset w:val="86"/>
    <w:family w:val="swiss"/>
    <w:pitch w:val="default"/>
    <w:sig w:usb0="80000287" w:usb1="2ACF3C50" w:usb2="00000016" w:usb3="00000000" w:csb0="0004001F" w:csb1="00000000"/>
    <w:embedRegular r:id="rId5" w:fontKey="{9F501566-AB28-4709-909D-CFE687DB41E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7</w:t>
        </w:r>
        <w:r>
          <w:rPr>
            <w:rFonts w:ascii="Times New Roman" w:hAnsi="Times New Roman" w:cs="Times New Roman"/>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OGJkMzBiZTliMjIwM2I5N2Y0NzYxMTdkOWM3NDQifQ=="/>
  </w:docVars>
  <w:rsids>
    <w:rsidRoot w:val="00F9794E"/>
    <w:rsid w:val="00001559"/>
    <w:rsid w:val="00002826"/>
    <w:rsid w:val="00002878"/>
    <w:rsid w:val="00002A9E"/>
    <w:rsid w:val="000045A7"/>
    <w:rsid w:val="00010A7A"/>
    <w:rsid w:val="0001168E"/>
    <w:rsid w:val="00013DDC"/>
    <w:rsid w:val="00013F00"/>
    <w:rsid w:val="0001418A"/>
    <w:rsid w:val="00017FA4"/>
    <w:rsid w:val="00020252"/>
    <w:rsid w:val="0002037D"/>
    <w:rsid w:val="00020592"/>
    <w:rsid w:val="000207D6"/>
    <w:rsid w:val="00023095"/>
    <w:rsid w:val="00024A3F"/>
    <w:rsid w:val="00025187"/>
    <w:rsid w:val="000251FA"/>
    <w:rsid w:val="00025803"/>
    <w:rsid w:val="00025F6B"/>
    <w:rsid w:val="00035250"/>
    <w:rsid w:val="0003593B"/>
    <w:rsid w:val="00035E66"/>
    <w:rsid w:val="00036784"/>
    <w:rsid w:val="00041CA3"/>
    <w:rsid w:val="00043908"/>
    <w:rsid w:val="00047A3F"/>
    <w:rsid w:val="00053578"/>
    <w:rsid w:val="000549FE"/>
    <w:rsid w:val="00057A99"/>
    <w:rsid w:val="00060BD5"/>
    <w:rsid w:val="0006644F"/>
    <w:rsid w:val="00066601"/>
    <w:rsid w:val="00071586"/>
    <w:rsid w:val="00071673"/>
    <w:rsid w:val="00072092"/>
    <w:rsid w:val="00073643"/>
    <w:rsid w:val="00076C08"/>
    <w:rsid w:val="0008021A"/>
    <w:rsid w:val="000811FA"/>
    <w:rsid w:val="00081423"/>
    <w:rsid w:val="00082955"/>
    <w:rsid w:val="00083115"/>
    <w:rsid w:val="000845C9"/>
    <w:rsid w:val="00085CFD"/>
    <w:rsid w:val="00090F30"/>
    <w:rsid w:val="0009114C"/>
    <w:rsid w:val="0009116E"/>
    <w:rsid w:val="000930F0"/>
    <w:rsid w:val="000934DC"/>
    <w:rsid w:val="0009376E"/>
    <w:rsid w:val="000A1D48"/>
    <w:rsid w:val="000A1E4D"/>
    <w:rsid w:val="000A3E16"/>
    <w:rsid w:val="000A6382"/>
    <w:rsid w:val="000B0BC7"/>
    <w:rsid w:val="000B2E52"/>
    <w:rsid w:val="000B4BAC"/>
    <w:rsid w:val="000B6B49"/>
    <w:rsid w:val="000C08C9"/>
    <w:rsid w:val="000C0BE7"/>
    <w:rsid w:val="000C1CB9"/>
    <w:rsid w:val="000C23C5"/>
    <w:rsid w:val="000D374F"/>
    <w:rsid w:val="000D3F5C"/>
    <w:rsid w:val="000D3FDC"/>
    <w:rsid w:val="000D5FF4"/>
    <w:rsid w:val="000E2087"/>
    <w:rsid w:val="000E20DB"/>
    <w:rsid w:val="000E34F8"/>
    <w:rsid w:val="000E378C"/>
    <w:rsid w:val="000E6882"/>
    <w:rsid w:val="000F2D08"/>
    <w:rsid w:val="000F5A2A"/>
    <w:rsid w:val="00106F3C"/>
    <w:rsid w:val="0011175A"/>
    <w:rsid w:val="00116B45"/>
    <w:rsid w:val="00122678"/>
    <w:rsid w:val="001230F0"/>
    <w:rsid w:val="00123230"/>
    <w:rsid w:val="00124FB2"/>
    <w:rsid w:val="0012728C"/>
    <w:rsid w:val="00131EBC"/>
    <w:rsid w:val="00132EF0"/>
    <w:rsid w:val="0013430F"/>
    <w:rsid w:val="001355E0"/>
    <w:rsid w:val="0014071E"/>
    <w:rsid w:val="00141551"/>
    <w:rsid w:val="0014255F"/>
    <w:rsid w:val="00142FBE"/>
    <w:rsid w:val="0014352C"/>
    <w:rsid w:val="00143809"/>
    <w:rsid w:val="00145BF7"/>
    <w:rsid w:val="00147581"/>
    <w:rsid w:val="0015037D"/>
    <w:rsid w:val="00152742"/>
    <w:rsid w:val="00154146"/>
    <w:rsid w:val="00154DBC"/>
    <w:rsid w:val="001568F5"/>
    <w:rsid w:val="0016145A"/>
    <w:rsid w:val="00165F16"/>
    <w:rsid w:val="00167C3B"/>
    <w:rsid w:val="00171BB5"/>
    <w:rsid w:val="00172DEF"/>
    <w:rsid w:val="0017583F"/>
    <w:rsid w:val="001770DA"/>
    <w:rsid w:val="00185A4A"/>
    <w:rsid w:val="00190101"/>
    <w:rsid w:val="0019247A"/>
    <w:rsid w:val="00193369"/>
    <w:rsid w:val="00195B4A"/>
    <w:rsid w:val="001967F7"/>
    <w:rsid w:val="00196A4F"/>
    <w:rsid w:val="00197036"/>
    <w:rsid w:val="001A018E"/>
    <w:rsid w:val="001A07E9"/>
    <w:rsid w:val="001A127F"/>
    <w:rsid w:val="001A38B1"/>
    <w:rsid w:val="001A3BF0"/>
    <w:rsid w:val="001A45AF"/>
    <w:rsid w:val="001A50A2"/>
    <w:rsid w:val="001A742B"/>
    <w:rsid w:val="001B23DA"/>
    <w:rsid w:val="001B5D9B"/>
    <w:rsid w:val="001B74A9"/>
    <w:rsid w:val="001C2193"/>
    <w:rsid w:val="001C63E9"/>
    <w:rsid w:val="001D3E8E"/>
    <w:rsid w:val="001D7291"/>
    <w:rsid w:val="001D7D26"/>
    <w:rsid w:val="001E2D70"/>
    <w:rsid w:val="001E6473"/>
    <w:rsid w:val="001F4145"/>
    <w:rsid w:val="00203005"/>
    <w:rsid w:val="002033CF"/>
    <w:rsid w:val="00203576"/>
    <w:rsid w:val="00205EA3"/>
    <w:rsid w:val="00206867"/>
    <w:rsid w:val="0020717C"/>
    <w:rsid w:val="00210EC7"/>
    <w:rsid w:val="002117A5"/>
    <w:rsid w:val="00211E29"/>
    <w:rsid w:val="00215489"/>
    <w:rsid w:val="002154B7"/>
    <w:rsid w:val="00215655"/>
    <w:rsid w:val="00216259"/>
    <w:rsid w:val="0021725A"/>
    <w:rsid w:val="002209F0"/>
    <w:rsid w:val="002236BB"/>
    <w:rsid w:val="00224277"/>
    <w:rsid w:val="00225CA5"/>
    <w:rsid w:val="00236D0B"/>
    <w:rsid w:val="002426FC"/>
    <w:rsid w:val="00243E28"/>
    <w:rsid w:val="002527EE"/>
    <w:rsid w:val="00253BB7"/>
    <w:rsid w:val="00255198"/>
    <w:rsid w:val="00256A7B"/>
    <w:rsid w:val="0026195A"/>
    <w:rsid w:val="00261F32"/>
    <w:rsid w:val="0026631E"/>
    <w:rsid w:val="002664FA"/>
    <w:rsid w:val="002667EA"/>
    <w:rsid w:val="002721EE"/>
    <w:rsid w:val="00272AD8"/>
    <w:rsid w:val="002750C3"/>
    <w:rsid w:val="00276841"/>
    <w:rsid w:val="00280293"/>
    <w:rsid w:val="00280BC0"/>
    <w:rsid w:val="002810CE"/>
    <w:rsid w:val="0028142F"/>
    <w:rsid w:val="002835AE"/>
    <w:rsid w:val="002843F6"/>
    <w:rsid w:val="0028521B"/>
    <w:rsid w:val="00285FC0"/>
    <w:rsid w:val="0028666D"/>
    <w:rsid w:val="00286B83"/>
    <w:rsid w:val="00287A51"/>
    <w:rsid w:val="002925B5"/>
    <w:rsid w:val="002942C7"/>
    <w:rsid w:val="0029488F"/>
    <w:rsid w:val="00294EC5"/>
    <w:rsid w:val="002A062E"/>
    <w:rsid w:val="002A3A9C"/>
    <w:rsid w:val="002B24A7"/>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5157"/>
    <w:rsid w:val="002E7447"/>
    <w:rsid w:val="002F03F7"/>
    <w:rsid w:val="002F6BAF"/>
    <w:rsid w:val="002F7E6C"/>
    <w:rsid w:val="0030057B"/>
    <w:rsid w:val="00300B5B"/>
    <w:rsid w:val="00301185"/>
    <w:rsid w:val="003013D9"/>
    <w:rsid w:val="003072D2"/>
    <w:rsid w:val="0030732C"/>
    <w:rsid w:val="00311273"/>
    <w:rsid w:val="0031256F"/>
    <w:rsid w:val="00313084"/>
    <w:rsid w:val="003149F6"/>
    <w:rsid w:val="00314B22"/>
    <w:rsid w:val="00314CEA"/>
    <w:rsid w:val="00322C42"/>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3E7C"/>
    <w:rsid w:val="003A4C6C"/>
    <w:rsid w:val="003A59AE"/>
    <w:rsid w:val="003C14DF"/>
    <w:rsid w:val="003C3AE2"/>
    <w:rsid w:val="003C6915"/>
    <w:rsid w:val="003C72A2"/>
    <w:rsid w:val="003D0FB9"/>
    <w:rsid w:val="003D184B"/>
    <w:rsid w:val="003D1B32"/>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5467"/>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5000"/>
    <w:rsid w:val="004469D4"/>
    <w:rsid w:val="00456D8D"/>
    <w:rsid w:val="00464DE7"/>
    <w:rsid w:val="00465A40"/>
    <w:rsid w:val="00465FA6"/>
    <w:rsid w:val="004673C1"/>
    <w:rsid w:val="00471CBB"/>
    <w:rsid w:val="00472BF3"/>
    <w:rsid w:val="004746BC"/>
    <w:rsid w:val="00475C8C"/>
    <w:rsid w:val="00476708"/>
    <w:rsid w:val="0048359A"/>
    <w:rsid w:val="004846CE"/>
    <w:rsid w:val="00487A17"/>
    <w:rsid w:val="00487BBF"/>
    <w:rsid w:val="00490049"/>
    <w:rsid w:val="004928F9"/>
    <w:rsid w:val="004936FF"/>
    <w:rsid w:val="004942DC"/>
    <w:rsid w:val="0049657C"/>
    <w:rsid w:val="004967E1"/>
    <w:rsid w:val="004A0491"/>
    <w:rsid w:val="004A1F3E"/>
    <w:rsid w:val="004A21DE"/>
    <w:rsid w:val="004A54E5"/>
    <w:rsid w:val="004B097F"/>
    <w:rsid w:val="004B0B11"/>
    <w:rsid w:val="004B1AD0"/>
    <w:rsid w:val="004B4645"/>
    <w:rsid w:val="004B509A"/>
    <w:rsid w:val="004B681C"/>
    <w:rsid w:val="004C054B"/>
    <w:rsid w:val="004C12CC"/>
    <w:rsid w:val="004C161E"/>
    <w:rsid w:val="004C3480"/>
    <w:rsid w:val="004C4871"/>
    <w:rsid w:val="004C657B"/>
    <w:rsid w:val="004D334A"/>
    <w:rsid w:val="004D732A"/>
    <w:rsid w:val="004E123E"/>
    <w:rsid w:val="004E4608"/>
    <w:rsid w:val="004E5668"/>
    <w:rsid w:val="004F190C"/>
    <w:rsid w:val="004F6D17"/>
    <w:rsid w:val="004F7956"/>
    <w:rsid w:val="00500807"/>
    <w:rsid w:val="005029D2"/>
    <w:rsid w:val="005041A5"/>
    <w:rsid w:val="00505F5D"/>
    <w:rsid w:val="00506A57"/>
    <w:rsid w:val="00506B9B"/>
    <w:rsid w:val="00506F12"/>
    <w:rsid w:val="005118FE"/>
    <w:rsid w:val="00512DDB"/>
    <w:rsid w:val="00513AF4"/>
    <w:rsid w:val="00516149"/>
    <w:rsid w:val="005200BE"/>
    <w:rsid w:val="00520ACA"/>
    <w:rsid w:val="00521598"/>
    <w:rsid w:val="00521AFF"/>
    <w:rsid w:val="005220B8"/>
    <w:rsid w:val="005270B7"/>
    <w:rsid w:val="005274E6"/>
    <w:rsid w:val="00532F96"/>
    <w:rsid w:val="005354F3"/>
    <w:rsid w:val="00536E7F"/>
    <w:rsid w:val="00544375"/>
    <w:rsid w:val="00545242"/>
    <w:rsid w:val="005468C8"/>
    <w:rsid w:val="00546C5B"/>
    <w:rsid w:val="005477A5"/>
    <w:rsid w:val="00547972"/>
    <w:rsid w:val="00551460"/>
    <w:rsid w:val="00556E77"/>
    <w:rsid w:val="00557F0A"/>
    <w:rsid w:val="0056065B"/>
    <w:rsid w:val="00561102"/>
    <w:rsid w:val="00562995"/>
    <w:rsid w:val="005631AC"/>
    <w:rsid w:val="005638D9"/>
    <w:rsid w:val="00564511"/>
    <w:rsid w:val="00564D68"/>
    <w:rsid w:val="00565892"/>
    <w:rsid w:val="00575584"/>
    <w:rsid w:val="005761E5"/>
    <w:rsid w:val="005764D7"/>
    <w:rsid w:val="00580726"/>
    <w:rsid w:val="00582456"/>
    <w:rsid w:val="00582D4E"/>
    <w:rsid w:val="005852CF"/>
    <w:rsid w:val="00592228"/>
    <w:rsid w:val="00592836"/>
    <w:rsid w:val="00593EB9"/>
    <w:rsid w:val="00593F22"/>
    <w:rsid w:val="005A2EA1"/>
    <w:rsid w:val="005A38A9"/>
    <w:rsid w:val="005B0223"/>
    <w:rsid w:val="005B3AAF"/>
    <w:rsid w:val="005B7BC4"/>
    <w:rsid w:val="005C09E6"/>
    <w:rsid w:val="005C38E3"/>
    <w:rsid w:val="005C4457"/>
    <w:rsid w:val="005C608E"/>
    <w:rsid w:val="005D15D7"/>
    <w:rsid w:val="005D4080"/>
    <w:rsid w:val="005D436A"/>
    <w:rsid w:val="005D573C"/>
    <w:rsid w:val="005E0F8B"/>
    <w:rsid w:val="005E4021"/>
    <w:rsid w:val="005E4F9D"/>
    <w:rsid w:val="005F0B9E"/>
    <w:rsid w:val="005F0E6E"/>
    <w:rsid w:val="005F128B"/>
    <w:rsid w:val="005F318D"/>
    <w:rsid w:val="005F3C8C"/>
    <w:rsid w:val="005F3E1D"/>
    <w:rsid w:val="005F6073"/>
    <w:rsid w:val="005F691A"/>
    <w:rsid w:val="005F7AB3"/>
    <w:rsid w:val="00601E77"/>
    <w:rsid w:val="00605888"/>
    <w:rsid w:val="006079F3"/>
    <w:rsid w:val="006114B7"/>
    <w:rsid w:val="006115E4"/>
    <w:rsid w:val="00613E8A"/>
    <w:rsid w:val="00613ED5"/>
    <w:rsid w:val="00614C54"/>
    <w:rsid w:val="00623057"/>
    <w:rsid w:val="00624E4A"/>
    <w:rsid w:val="00626444"/>
    <w:rsid w:val="006264E6"/>
    <w:rsid w:val="00627047"/>
    <w:rsid w:val="006272BA"/>
    <w:rsid w:val="00630CFE"/>
    <w:rsid w:val="00633304"/>
    <w:rsid w:val="0063462C"/>
    <w:rsid w:val="00634E59"/>
    <w:rsid w:val="006424DE"/>
    <w:rsid w:val="00643A36"/>
    <w:rsid w:val="006448EB"/>
    <w:rsid w:val="00645A70"/>
    <w:rsid w:val="00646FFA"/>
    <w:rsid w:val="00650E90"/>
    <w:rsid w:val="006514CD"/>
    <w:rsid w:val="006517D7"/>
    <w:rsid w:val="006547F0"/>
    <w:rsid w:val="00657720"/>
    <w:rsid w:val="00661107"/>
    <w:rsid w:val="00664164"/>
    <w:rsid w:val="00671EE2"/>
    <w:rsid w:val="00677BE2"/>
    <w:rsid w:val="006808FF"/>
    <w:rsid w:val="00683640"/>
    <w:rsid w:val="0069158D"/>
    <w:rsid w:val="00692507"/>
    <w:rsid w:val="00692AF6"/>
    <w:rsid w:val="00694319"/>
    <w:rsid w:val="006964D5"/>
    <w:rsid w:val="00696BA0"/>
    <w:rsid w:val="006A2317"/>
    <w:rsid w:val="006A39B3"/>
    <w:rsid w:val="006B1085"/>
    <w:rsid w:val="006B4537"/>
    <w:rsid w:val="006B4558"/>
    <w:rsid w:val="006B4B0E"/>
    <w:rsid w:val="006B4F93"/>
    <w:rsid w:val="006B5CDE"/>
    <w:rsid w:val="006B5D33"/>
    <w:rsid w:val="006B6835"/>
    <w:rsid w:val="006C1CEE"/>
    <w:rsid w:val="006C571D"/>
    <w:rsid w:val="006C61BC"/>
    <w:rsid w:val="006C6C41"/>
    <w:rsid w:val="006C73D3"/>
    <w:rsid w:val="006D0480"/>
    <w:rsid w:val="006D18F4"/>
    <w:rsid w:val="006D1D40"/>
    <w:rsid w:val="006D4629"/>
    <w:rsid w:val="006D70EE"/>
    <w:rsid w:val="006E4A53"/>
    <w:rsid w:val="006E7974"/>
    <w:rsid w:val="006F270B"/>
    <w:rsid w:val="006F6EFA"/>
    <w:rsid w:val="00700753"/>
    <w:rsid w:val="00700F70"/>
    <w:rsid w:val="0070225C"/>
    <w:rsid w:val="00706095"/>
    <w:rsid w:val="00707579"/>
    <w:rsid w:val="007124F4"/>
    <w:rsid w:val="00713954"/>
    <w:rsid w:val="00713CF1"/>
    <w:rsid w:val="00714A01"/>
    <w:rsid w:val="00715279"/>
    <w:rsid w:val="007211BD"/>
    <w:rsid w:val="007238A9"/>
    <w:rsid w:val="007261F0"/>
    <w:rsid w:val="007317D1"/>
    <w:rsid w:val="00732243"/>
    <w:rsid w:val="007328CB"/>
    <w:rsid w:val="00732BCF"/>
    <w:rsid w:val="007330A1"/>
    <w:rsid w:val="007332F0"/>
    <w:rsid w:val="0073352B"/>
    <w:rsid w:val="00733830"/>
    <w:rsid w:val="00733DCA"/>
    <w:rsid w:val="007400DA"/>
    <w:rsid w:val="00744D49"/>
    <w:rsid w:val="00744F38"/>
    <w:rsid w:val="00746FF2"/>
    <w:rsid w:val="00747743"/>
    <w:rsid w:val="007529F7"/>
    <w:rsid w:val="007553AC"/>
    <w:rsid w:val="0075679E"/>
    <w:rsid w:val="00761DD6"/>
    <w:rsid w:val="00765A85"/>
    <w:rsid w:val="00766527"/>
    <w:rsid w:val="00766DF6"/>
    <w:rsid w:val="00767FDE"/>
    <w:rsid w:val="00770C8A"/>
    <w:rsid w:val="0077179C"/>
    <w:rsid w:val="007867D4"/>
    <w:rsid w:val="00786E47"/>
    <w:rsid w:val="00787499"/>
    <w:rsid w:val="007879F2"/>
    <w:rsid w:val="00787ADD"/>
    <w:rsid w:val="00787EBA"/>
    <w:rsid w:val="00793C1F"/>
    <w:rsid w:val="00794803"/>
    <w:rsid w:val="0079595F"/>
    <w:rsid w:val="00796E73"/>
    <w:rsid w:val="007976A4"/>
    <w:rsid w:val="007A535D"/>
    <w:rsid w:val="007A5B1A"/>
    <w:rsid w:val="007A74E5"/>
    <w:rsid w:val="007B0432"/>
    <w:rsid w:val="007B0C67"/>
    <w:rsid w:val="007B149B"/>
    <w:rsid w:val="007B14E7"/>
    <w:rsid w:val="007B330B"/>
    <w:rsid w:val="007B39DD"/>
    <w:rsid w:val="007C05C3"/>
    <w:rsid w:val="007C1ADA"/>
    <w:rsid w:val="007C20F1"/>
    <w:rsid w:val="007C4B7A"/>
    <w:rsid w:val="007D0B1D"/>
    <w:rsid w:val="007D1226"/>
    <w:rsid w:val="007D4B90"/>
    <w:rsid w:val="007E2BA7"/>
    <w:rsid w:val="007E4434"/>
    <w:rsid w:val="007E54CB"/>
    <w:rsid w:val="007E57AE"/>
    <w:rsid w:val="007F005E"/>
    <w:rsid w:val="007F1387"/>
    <w:rsid w:val="007F36AD"/>
    <w:rsid w:val="007F606D"/>
    <w:rsid w:val="00802E7A"/>
    <w:rsid w:val="00806DC9"/>
    <w:rsid w:val="0081218E"/>
    <w:rsid w:val="00812D32"/>
    <w:rsid w:val="0081388E"/>
    <w:rsid w:val="00814B07"/>
    <w:rsid w:val="00822B0C"/>
    <w:rsid w:val="008245C1"/>
    <w:rsid w:val="00824806"/>
    <w:rsid w:val="008275B0"/>
    <w:rsid w:val="00832B16"/>
    <w:rsid w:val="00832FC5"/>
    <w:rsid w:val="0083365C"/>
    <w:rsid w:val="00841689"/>
    <w:rsid w:val="00842A0F"/>
    <w:rsid w:val="00845451"/>
    <w:rsid w:val="00847C28"/>
    <w:rsid w:val="008501B5"/>
    <w:rsid w:val="008507CC"/>
    <w:rsid w:val="00851739"/>
    <w:rsid w:val="00853318"/>
    <w:rsid w:val="00855231"/>
    <w:rsid w:val="008630A1"/>
    <w:rsid w:val="0086550F"/>
    <w:rsid w:val="00872E17"/>
    <w:rsid w:val="00873BD5"/>
    <w:rsid w:val="00874417"/>
    <w:rsid w:val="00877F1C"/>
    <w:rsid w:val="00880874"/>
    <w:rsid w:val="00881197"/>
    <w:rsid w:val="00881695"/>
    <w:rsid w:val="00883F9A"/>
    <w:rsid w:val="008852D9"/>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D5D0E"/>
    <w:rsid w:val="008D7BCD"/>
    <w:rsid w:val="008E0CF4"/>
    <w:rsid w:val="008E3E96"/>
    <w:rsid w:val="008E3F26"/>
    <w:rsid w:val="008E448B"/>
    <w:rsid w:val="008E7530"/>
    <w:rsid w:val="008E7B9E"/>
    <w:rsid w:val="008F058C"/>
    <w:rsid w:val="008F155B"/>
    <w:rsid w:val="008F40E8"/>
    <w:rsid w:val="008F4797"/>
    <w:rsid w:val="008F578B"/>
    <w:rsid w:val="008F59F6"/>
    <w:rsid w:val="008F7670"/>
    <w:rsid w:val="00901929"/>
    <w:rsid w:val="00905E69"/>
    <w:rsid w:val="00913FF2"/>
    <w:rsid w:val="00914D01"/>
    <w:rsid w:val="00915D11"/>
    <w:rsid w:val="00916388"/>
    <w:rsid w:val="00917AB3"/>
    <w:rsid w:val="00921423"/>
    <w:rsid w:val="00921D64"/>
    <w:rsid w:val="00921F0F"/>
    <w:rsid w:val="0092519C"/>
    <w:rsid w:val="0092675F"/>
    <w:rsid w:val="00930007"/>
    <w:rsid w:val="0093007B"/>
    <w:rsid w:val="0093314C"/>
    <w:rsid w:val="0093609E"/>
    <w:rsid w:val="0093668E"/>
    <w:rsid w:val="00941365"/>
    <w:rsid w:val="00944C04"/>
    <w:rsid w:val="00946E05"/>
    <w:rsid w:val="009471C1"/>
    <w:rsid w:val="00947779"/>
    <w:rsid w:val="00951B52"/>
    <w:rsid w:val="00951C87"/>
    <w:rsid w:val="00955706"/>
    <w:rsid w:val="00956B8E"/>
    <w:rsid w:val="0095734F"/>
    <w:rsid w:val="00957806"/>
    <w:rsid w:val="009600C8"/>
    <w:rsid w:val="00961A7C"/>
    <w:rsid w:val="00966796"/>
    <w:rsid w:val="00971E14"/>
    <w:rsid w:val="00972919"/>
    <w:rsid w:val="00973F59"/>
    <w:rsid w:val="009779AB"/>
    <w:rsid w:val="009805FB"/>
    <w:rsid w:val="0098171D"/>
    <w:rsid w:val="00981FC0"/>
    <w:rsid w:val="0098284B"/>
    <w:rsid w:val="00985648"/>
    <w:rsid w:val="009946E3"/>
    <w:rsid w:val="00995948"/>
    <w:rsid w:val="009973FE"/>
    <w:rsid w:val="009A2C2A"/>
    <w:rsid w:val="009A421E"/>
    <w:rsid w:val="009B227C"/>
    <w:rsid w:val="009B3749"/>
    <w:rsid w:val="009B4DD2"/>
    <w:rsid w:val="009B6122"/>
    <w:rsid w:val="009C14B1"/>
    <w:rsid w:val="009C406E"/>
    <w:rsid w:val="009C4732"/>
    <w:rsid w:val="009C79E3"/>
    <w:rsid w:val="009D545F"/>
    <w:rsid w:val="009D7E4D"/>
    <w:rsid w:val="009E759E"/>
    <w:rsid w:val="009F23DC"/>
    <w:rsid w:val="009F3582"/>
    <w:rsid w:val="009F462D"/>
    <w:rsid w:val="009F5107"/>
    <w:rsid w:val="009F6267"/>
    <w:rsid w:val="00A00E2C"/>
    <w:rsid w:val="00A00EB1"/>
    <w:rsid w:val="00A02477"/>
    <w:rsid w:val="00A0291D"/>
    <w:rsid w:val="00A0535A"/>
    <w:rsid w:val="00A05B71"/>
    <w:rsid w:val="00A06767"/>
    <w:rsid w:val="00A068FD"/>
    <w:rsid w:val="00A102B4"/>
    <w:rsid w:val="00A105E4"/>
    <w:rsid w:val="00A10B4A"/>
    <w:rsid w:val="00A13259"/>
    <w:rsid w:val="00A133C8"/>
    <w:rsid w:val="00A178AC"/>
    <w:rsid w:val="00A26CC4"/>
    <w:rsid w:val="00A2780A"/>
    <w:rsid w:val="00A2793E"/>
    <w:rsid w:val="00A32B9D"/>
    <w:rsid w:val="00A33E17"/>
    <w:rsid w:val="00A34D15"/>
    <w:rsid w:val="00A36D63"/>
    <w:rsid w:val="00A433F1"/>
    <w:rsid w:val="00A44274"/>
    <w:rsid w:val="00A52BF6"/>
    <w:rsid w:val="00A539F1"/>
    <w:rsid w:val="00A600DC"/>
    <w:rsid w:val="00A62E6E"/>
    <w:rsid w:val="00A650F4"/>
    <w:rsid w:val="00A67150"/>
    <w:rsid w:val="00A73261"/>
    <w:rsid w:val="00A80970"/>
    <w:rsid w:val="00A81AF3"/>
    <w:rsid w:val="00A825BC"/>
    <w:rsid w:val="00A8303A"/>
    <w:rsid w:val="00A8550F"/>
    <w:rsid w:val="00A876CD"/>
    <w:rsid w:val="00A93EE0"/>
    <w:rsid w:val="00A972F4"/>
    <w:rsid w:val="00AA39E9"/>
    <w:rsid w:val="00AA3C44"/>
    <w:rsid w:val="00AA57D1"/>
    <w:rsid w:val="00AA608B"/>
    <w:rsid w:val="00AA6A33"/>
    <w:rsid w:val="00AB177A"/>
    <w:rsid w:val="00AB2181"/>
    <w:rsid w:val="00AB4561"/>
    <w:rsid w:val="00AB4CB4"/>
    <w:rsid w:val="00AC071E"/>
    <w:rsid w:val="00AD0C79"/>
    <w:rsid w:val="00AD2224"/>
    <w:rsid w:val="00AD3AC7"/>
    <w:rsid w:val="00AD454C"/>
    <w:rsid w:val="00AD6D01"/>
    <w:rsid w:val="00AE223D"/>
    <w:rsid w:val="00AF0EEF"/>
    <w:rsid w:val="00AF1A5E"/>
    <w:rsid w:val="00AF59CE"/>
    <w:rsid w:val="00B03754"/>
    <w:rsid w:val="00B03B2E"/>
    <w:rsid w:val="00B135AB"/>
    <w:rsid w:val="00B20679"/>
    <w:rsid w:val="00B2090D"/>
    <w:rsid w:val="00B2178D"/>
    <w:rsid w:val="00B22EA3"/>
    <w:rsid w:val="00B2412F"/>
    <w:rsid w:val="00B2608D"/>
    <w:rsid w:val="00B30BEB"/>
    <w:rsid w:val="00B33F07"/>
    <w:rsid w:val="00B4032D"/>
    <w:rsid w:val="00B51345"/>
    <w:rsid w:val="00B565B5"/>
    <w:rsid w:val="00B56C5F"/>
    <w:rsid w:val="00B61770"/>
    <w:rsid w:val="00B61959"/>
    <w:rsid w:val="00B62804"/>
    <w:rsid w:val="00B635FF"/>
    <w:rsid w:val="00B64933"/>
    <w:rsid w:val="00B66DC9"/>
    <w:rsid w:val="00B67496"/>
    <w:rsid w:val="00B75D61"/>
    <w:rsid w:val="00B8012F"/>
    <w:rsid w:val="00B802B2"/>
    <w:rsid w:val="00B81C30"/>
    <w:rsid w:val="00B8280B"/>
    <w:rsid w:val="00B8536B"/>
    <w:rsid w:val="00B856F4"/>
    <w:rsid w:val="00B9088C"/>
    <w:rsid w:val="00B90FD9"/>
    <w:rsid w:val="00B91234"/>
    <w:rsid w:val="00BA0A4E"/>
    <w:rsid w:val="00BA181E"/>
    <w:rsid w:val="00BA370F"/>
    <w:rsid w:val="00BA4AEE"/>
    <w:rsid w:val="00BA5426"/>
    <w:rsid w:val="00BB0420"/>
    <w:rsid w:val="00BB27C0"/>
    <w:rsid w:val="00BB2E68"/>
    <w:rsid w:val="00BB3C89"/>
    <w:rsid w:val="00BB4F2A"/>
    <w:rsid w:val="00BB54E6"/>
    <w:rsid w:val="00BB6A23"/>
    <w:rsid w:val="00BB77D4"/>
    <w:rsid w:val="00BC2F70"/>
    <w:rsid w:val="00BD2EFC"/>
    <w:rsid w:val="00BD3DBF"/>
    <w:rsid w:val="00BD430E"/>
    <w:rsid w:val="00BD4E74"/>
    <w:rsid w:val="00BD6897"/>
    <w:rsid w:val="00BE0861"/>
    <w:rsid w:val="00BE10BF"/>
    <w:rsid w:val="00BE1ECE"/>
    <w:rsid w:val="00BE330B"/>
    <w:rsid w:val="00BE3612"/>
    <w:rsid w:val="00BE4EBF"/>
    <w:rsid w:val="00BE5A84"/>
    <w:rsid w:val="00BE74EE"/>
    <w:rsid w:val="00BF7A89"/>
    <w:rsid w:val="00C00A1E"/>
    <w:rsid w:val="00C01AE2"/>
    <w:rsid w:val="00C05072"/>
    <w:rsid w:val="00C06976"/>
    <w:rsid w:val="00C06FDF"/>
    <w:rsid w:val="00C103C6"/>
    <w:rsid w:val="00C10804"/>
    <w:rsid w:val="00C12C04"/>
    <w:rsid w:val="00C13992"/>
    <w:rsid w:val="00C17465"/>
    <w:rsid w:val="00C21728"/>
    <w:rsid w:val="00C25608"/>
    <w:rsid w:val="00C32F13"/>
    <w:rsid w:val="00C33E45"/>
    <w:rsid w:val="00C3591F"/>
    <w:rsid w:val="00C403A6"/>
    <w:rsid w:val="00C41780"/>
    <w:rsid w:val="00C424DB"/>
    <w:rsid w:val="00C42637"/>
    <w:rsid w:val="00C4336F"/>
    <w:rsid w:val="00C46BD7"/>
    <w:rsid w:val="00C47392"/>
    <w:rsid w:val="00C5540A"/>
    <w:rsid w:val="00C63322"/>
    <w:rsid w:val="00C642E0"/>
    <w:rsid w:val="00C64F71"/>
    <w:rsid w:val="00C7072C"/>
    <w:rsid w:val="00C708B6"/>
    <w:rsid w:val="00C71ADB"/>
    <w:rsid w:val="00C73DEB"/>
    <w:rsid w:val="00C74F51"/>
    <w:rsid w:val="00C756D2"/>
    <w:rsid w:val="00C7648F"/>
    <w:rsid w:val="00C77829"/>
    <w:rsid w:val="00C80869"/>
    <w:rsid w:val="00C811AC"/>
    <w:rsid w:val="00C853AD"/>
    <w:rsid w:val="00C8571C"/>
    <w:rsid w:val="00C86274"/>
    <w:rsid w:val="00C93EF2"/>
    <w:rsid w:val="00C95D43"/>
    <w:rsid w:val="00C963AA"/>
    <w:rsid w:val="00CA0E40"/>
    <w:rsid w:val="00CA1268"/>
    <w:rsid w:val="00CA31D6"/>
    <w:rsid w:val="00CA4C9C"/>
    <w:rsid w:val="00CB258E"/>
    <w:rsid w:val="00CB364C"/>
    <w:rsid w:val="00CB3CEA"/>
    <w:rsid w:val="00CB5E91"/>
    <w:rsid w:val="00CC3D4E"/>
    <w:rsid w:val="00CC5C76"/>
    <w:rsid w:val="00CC7C79"/>
    <w:rsid w:val="00CC7E88"/>
    <w:rsid w:val="00CD128D"/>
    <w:rsid w:val="00CD30D7"/>
    <w:rsid w:val="00CD5708"/>
    <w:rsid w:val="00CD5AB3"/>
    <w:rsid w:val="00CD69EA"/>
    <w:rsid w:val="00CD6BAE"/>
    <w:rsid w:val="00CE263F"/>
    <w:rsid w:val="00CE3788"/>
    <w:rsid w:val="00CE71A1"/>
    <w:rsid w:val="00CF19F1"/>
    <w:rsid w:val="00CF22A1"/>
    <w:rsid w:val="00CF2ED5"/>
    <w:rsid w:val="00CF39A9"/>
    <w:rsid w:val="00D02F70"/>
    <w:rsid w:val="00D03FD8"/>
    <w:rsid w:val="00D05371"/>
    <w:rsid w:val="00D0628E"/>
    <w:rsid w:val="00D106CF"/>
    <w:rsid w:val="00D10A66"/>
    <w:rsid w:val="00D10E13"/>
    <w:rsid w:val="00D11DA0"/>
    <w:rsid w:val="00D13709"/>
    <w:rsid w:val="00D17167"/>
    <w:rsid w:val="00D2237F"/>
    <w:rsid w:val="00D263F2"/>
    <w:rsid w:val="00D3083A"/>
    <w:rsid w:val="00D31C7D"/>
    <w:rsid w:val="00D33C80"/>
    <w:rsid w:val="00D351C7"/>
    <w:rsid w:val="00D36EE2"/>
    <w:rsid w:val="00D37CD1"/>
    <w:rsid w:val="00D40328"/>
    <w:rsid w:val="00D40C3A"/>
    <w:rsid w:val="00D4113B"/>
    <w:rsid w:val="00D41C4D"/>
    <w:rsid w:val="00D457A8"/>
    <w:rsid w:val="00D55F68"/>
    <w:rsid w:val="00D570DC"/>
    <w:rsid w:val="00D61402"/>
    <w:rsid w:val="00D61789"/>
    <w:rsid w:val="00D65E69"/>
    <w:rsid w:val="00D667CB"/>
    <w:rsid w:val="00D77071"/>
    <w:rsid w:val="00D81BA8"/>
    <w:rsid w:val="00D83148"/>
    <w:rsid w:val="00D836C8"/>
    <w:rsid w:val="00D86371"/>
    <w:rsid w:val="00D95622"/>
    <w:rsid w:val="00D964B7"/>
    <w:rsid w:val="00DA15D8"/>
    <w:rsid w:val="00DA3C3D"/>
    <w:rsid w:val="00DA7224"/>
    <w:rsid w:val="00DB53C4"/>
    <w:rsid w:val="00DB62A8"/>
    <w:rsid w:val="00DB7223"/>
    <w:rsid w:val="00DC0C1E"/>
    <w:rsid w:val="00DC1F2F"/>
    <w:rsid w:val="00DC4ECF"/>
    <w:rsid w:val="00DC6558"/>
    <w:rsid w:val="00DD2680"/>
    <w:rsid w:val="00DD47F7"/>
    <w:rsid w:val="00DD4A64"/>
    <w:rsid w:val="00DD52A3"/>
    <w:rsid w:val="00DE201C"/>
    <w:rsid w:val="00DE21BE"/>
    <w:rsid w:val="00DE6184"/>
    <w:rsid w:val="00DF2FD4"/>
    <w:rsid w:val="00DF5C2E"/>
    <w:rsid w:val="00DF7A33"/>
    <w:rsid w:val="00E165B3"/>
    <w:rsid w:val="00E17974"/>
    <w:rsid w:val="00E20A2E"/>
    <w:rsid w:val="00E21C01"/>
    <w:rsid w:val="00E22D76"/>
    <w:rsid w:val="00E30C23"/>
    <w:rsid w:val="00E34A93"/>
    <w:rsid w:val="00E35FD2"/>
    <w:rsid w:val="00E406E5"/>
    <w:rsid w:val="00E42671"/>
    <w:rsid w:val="00E45147"/>
    <w:rsid w:val="00E452A7"/>
    <w:rsid w:val="00E47F22"/>
    <w:rsid w:val="00E5562E"/>
    <w:rsid w:val="00E62762"/>
    <w:rsid w:val="00E6357D"/>
    <w:rsid w:val="00E63F8B"/>
    <w:rsid w:val="00E63FE8"/>
    <w:rsid w:val="00E64DFE"/>
    <w:rsid w:val="00E661DD"/>
    <w:rsid w:val="00E676FE"/>
    <w:rsid w:val="00E702A7"/>
    <w:rsid w:val="00E725DB"/>
    <w:rsid w:val="00E75574"/>
    <w:rsid w:val="00E75BC0"/>
    <w:rsid w:val="00E75C54"/>
    <w:rsid w:val="00E77FF2"/>
    <w:rsid w:val="00E83377"/>
    <w:rsid w:val="00E86CBC"/>
    <w:rsid w:val="00E87218"/>
    <w:rsid w:val="00E87921"/>
    <w:rsid w:val="00E95E9A"/>
    <w:rsid w:val="00EA0450"/>
    <w:rsid w:val="00EA1C4F"/>
    <w:rsid w:val="00EA2FEA"/>
    <w:rsid w:val="00EA301C"/>
    <w:rsid w:val="00EA7902"/>
    <w:rsid w:val="00EB17E1"/>
    <w:rsid w:val="00EB2EEA"/>
    <w:rsid w:val="00EB32FB"/>
    <w:rsid w:val="00EB3E34"/>
    <w:rsid w:val="00EB4177"/>
    <w:rsid w:val="00EB54CF"/>
    <w:rsid w:val="00EB5C0E"/>
    <w:rsid w:val="00EC587F"/>
    <w:rsid w:val="00ED5849"/>
    <w:rsid w:val="00EF266B"/>
    <w:rsid w:val="00EF36BE"/>
    <w:rsid w:val="00EF39EF"/>
    <w:rsid w:val="00EF491B"/>
    <w:rsid w:val="00EF6C34"/>
    <w:rsid w:val="00EF7EF8"/>
    <w:rsid w:val="00F010A3"/>
    <w:rsid w:val="00F03288"/>
    <w:rsid w:val="00F04807"/>
    <w:rsid w:val="00F05262"/>
    <w:rsid w:val="00F05F24"/>
    <w:rsid w:val="00F0760D"/>
    <w:rsid w:val="00F1296B"/>
    <w:rsid w:val="00F164AB"/>
    <w:rsid w:val="00F16A38"/>
    <w:rsid w:val="00F2099B"/>
    <w:rsid w:val="00F21B76"/>
    <w:rsid w:val="00F21EA4"/>
    <w:rsid w:val="00F22AC0"/>
    <w:rsid w:val="00F31C33"/>
    <w:rsid w:val="00F32EC5"/>
    <w:rsid w:val="00F346B3"/>
    <w:rsid w:val="00F34C38"/>
    <w:rsid w:val="00F34FD7"/>
    <w:rsid w:val="00F3543F"/>
    <w:rsid w:val="00F359ED"/>
    <w:rsid w:val="00F458C5"/>
    <w:rsid w:val="00F47914"/>
    <w:rsid w:val="00F55BF0"/>
    <w:rsid w:val="00F55D6E"/>
    <w:rsid w:val="00F662E8"/>
    <w:rsid w:val="00F66822"/>
    <w:rsid w:val="00F67512"/>
    <w:rsid w:val="00F729B9"/>
    <w:rsid w:val="00F731FB"/>
    <w:rsid w:val="00F736BE"/>
    <w:rsid w:val="00F75A45"/>
    <w:rsid w:val="00F7768D"/>
    <w:rsid w:val="00F812A4"/>
    <w:rsid w:val="00F84CF3"/>
    <w:rsid w:val="00F86182"/>
    <w:rsid w:val="00F86CBD"/>
    <w:rsid w:val="00F90EE1"/>
    <w:rsid w:val="00F94E23"/>
    <w:rsid w:val="00F955E6"/>
    <w:rsid w:val="00F96F18"/>
    <w:rsid w:val="00F97736"/>
    <w:rsid w:val="00F9794E"/>
    <w:rsid w:val="00FA1B22"/>
    <w:rsid w:val="00FA1E1F"/>
    <w:rsid w:val="00FA2B9D"/>
    <w:rsid w:val="00FA5ED5"/>
    <w:rsid w:val="00FB0781"/>
    <w:rsid w:val="00FB1B16"/>
    <w:rsid w:val="00FB71E4"/>
    <w:rsid w:val="00FC0737"/>
    <w:rsid w:val="00FC1212"/>
    <w:rsid w:val="00FC2D75"/>
    <w:rsid w:val="00FC424D"/>
    <w:rsid w:val="00FD0DBD"/>
    <w:rsid w:val="00FD18E0"/>
    <w:rsid w:val="00FD20B3"/>
    <w:rsid w:val="00FD3B07"/>
    <w:rsid w:val="00FD4800"/>
    <w:rsid w:val="00FD4EB5"/>
    <w:rsid w:val="00FD622D"/>
    <w:rsid w:val="00FD6D05"/>
    <w:rsid w:val="00FE2DF9"/>
    <w:rsid w:val="00FE4886"/>
    <w:rsid w:val="00FE63B0"/>
    <w:rsid w:val="00FF0D14"/>
    <w:rsid w:val="00FF391D"/>
    <w:rsid w:val="00FF599F"/>
    <w:rsid w:val="00FF5E18"/>
    <w:rsid w:val="00FF646C"/>
    <w:rsid w:val="01ED12FC"/>
    <w:rsid w:val="045A6767"/>
    <w:rsid w:val="04A679A3"/>
    <w:rsid w:val="0523416B"/>
    <w:rsid w:val="054C677A"/>
    <w:rsid w:val="05E57574"/>
    <w:rsid w:val="067572F2"/>
    <w:rsid w:val="06AD639E"/>
    <w:rsid w:val="06EC66E0"/>
    <w:rsid w:val="0740253A"/>
    <w:rsid w:val="07940139"/>
    <w:rsid w:val="09763850"/>
    <w:rsid w:val="098B73D1"/>
    <w:rsid w:val="0A3B6C1F"/>
    <w:rsid w:val="0B5B29A5"/>
    <w:rsid w:val="0B68215D"/>
    <w:rsid w:val="0EC323B4"/>
    <w:rsid w:val="0FC309FE"/>
    <w:rsid w:val="0FE74795"/>
    <w:rsid w:val="10560F07"/>
    <w:rsid w:val="1077391B"/>
    <w:rsid w:val="12123BB3"/>
    <w:rsid w:val="12BF3B17"/>
    <w:rsid w:val="132E65B1"/>
    <w:rsid w:val="16646981"/>
    <w:rsid w:val="167E1F31"/>
    <w:rsid w:val="170F4C05"/>
    <w:rsid w:val="19185113"/>
    <w:rsid w:val="1A402B62"/>
    <w:rsid w:val="1BA47A5B"/>
    <w:rsid w:val="1C172CE0"/>
    <w:rsid w:val="1D1D26DC"/>
    <w:rsid w:val="1DFC061D"/>
    <w:rsid w:val="1EB72402"/>
    <w:rsid w:val="1F454FD3"/>
    <w:rsid w:val="20E06E5E"/>
    <w:rsid w:val="22506829"/>
    <w:rsid w:val="22C309FB"/>
    <w:rsid w:val="23045086"/>
    <w:rsid w:val="258E5C3B"/>
    <w:rsid w:val="26EC22EE"/>
    <w:rsid w:val="27F34DBC"/>
    <w:rsid w:val="284B1061"/>
    <w:rsid w:val="28873745"/>
    <w:rsid w:val="2B0B4AD7"/>
    <w:rsid w:val="2BFE41CE"/>
    <w:rsid w:val="2C223656"/>
    <w:rsid w:val="2E242006"/>
    <w:rsid w:val="2E2C63F6"/>
    <w:rsid w:val="2F8D7364"/>
    <w:rsid w:val="30C23DBD"/>
    <w:rsid w:val="311D06BA"/>
    <w:rsid w:val="33641229"/>
    <w:rsid w:val="34ED05EF"/>
    <w:rsid w:val="35E623C9"/>
    <w:rsid w:val="35E63176"/>
    <w:rsid w:val="367F64DE"/>
    <w:rsid w:val="369D33CF"/>
    <w:rsid w:val="36E56B24"/>
    <w:rsid w:val="38700A83"/>
    <w:rsid w:val="389C7F90"/>
    <w:rsid w:val="3A725701"/>
    <w:rsid w:val="3AAD4EAF"/>
    <w:rsid w:val="3B013102"/>
    <w:rsid w:val="3B36645E"/>
    <w:rsid w:val="3BE865EF"/>
    <w:rsid w:val="3C991F43"/>
    <w:rsid w:val="3CBE316E"/>
    <w:rsid w:val="3EC011B1"/>
    <w:rsid w:val="3EF47905"/>
    <w:rsid w:val="3F045DEA"/>
    <w:rsid w:val="3FB1136D"/>
    <w:rsid w:val="3FD209A4"/>
    <w:rsid w:val="40704882"/>
    <w:rsid w:val="40AA0BC3"/>
    <w:rsid w:val="41202C33"/>
    <w:rsid w:val="41B368AD"/>
    <w:rsid w:val="41C205F1"/>
    <w:rsid w:val="435E28C6"/>
    <w:rsid w:val="445B0426"/>
    <w:rsid w:val="45435514"/>
    <w:rsid w:val="456227B0"/>
    <w:rsid w:val="45F976FE"/>
    <w:rsid w:val="461C6C79"/>
    <w:rsid w:val="462A3742"/>
    <w:rsid w:val="478015E2"/>
    <w:rsid w:val="49033A49"/>
    <w:rsid w:val="4959279C"/>
    <w:rsid w:val="4AE6402F"/>
    <w:rsid w:val="4CED6468"/>
    <w:rsid w:val="4CF93156"/>
    <w:rsid w:val="4E4A226B"/>
    <w:rsid w:val="4EB1136E"/>
    <w:rsid w:val="4EB572F7"/>
    <w:rsid w:val="4F565FD2"/>
    <w:rsid w:val="501B35BC"/>
    <w:rsid w:val="516528E4"/>
    <w:rsid w:val="525013A4"/>
    <w:rsid w:val="526C3E84"/>
    <w:rsid w:val="54FD69B2"/>
    <w:rsid w:val="55FD133D"/>
    <w:rsid w:val="5720124C"/>
    <w:rsid w:val="57875362"/>
    <w:rsid w:val="590560B8"/>
    <w:rsid w:val="59A1444F"/>
    <w:rsid w:val="5BB32FDF"/>
    <w:rsid w:val="5C3C15B7"/>
    <w:rsid w:val="5CA058DC"/>
    <w:rsid w:val="5CEC63B5"/>
    <w:rsid w:val="5D623CDA"/>
    <w:rsid w:val="5D8E1D85"/>
    <w:rsid w:val="5EB91F7B"/>
    <w:rsid w:val="5FE56B04"/>
    <w:rsid w:val="60574D64"/>
    <w:rsid w:val="606171FC"/>
    <w:rsid w:val="62514323"/>
    <w:rsid w:val="626C0FE7"/>
    <w:rsid w:val="62DB1199"/>
    <w:rsid w:val="62F009E0"/>
    <w:rsid w:val="63E54120"/>
    <w:rsid w:val="642A40F0"/>
    <w:rsid w:val="65D909B4"/>
    <w:rsid w:val="66212E26"/>
    <w:rsid w:val="666627B6"/>
    <w:rsid w:val="66E63727"/>
    <w:rsid w:val="67DF1BF8"/>
    <w:rsid w:val="681C6D5B"/>
    <w:rsid w:val="697C07C6"/>
    <w:rsid w:val="699D6879"/>
    <w:rsid w:val="69C26193"/>
    <w:rsid w:val="6AA47B81"/>
    <w:rsid w:val="6B642897"/>
    <w:rsid w:val="6BB74FF8"/>
    <w:rsid w:val="6C335CEE"/>
    <w:rsid w:val="6CBC6348"/>
    <w:rsid w:val="6CC53190"/>
    <w:rsid w:val="6E274A83"/>
    <w:rsid w:val="6F6A75EB"/>
    <w:rsid w:val="6FE74798"/>
    <w:rsid w:val="70353FC6"/>
    <w:rsid w:val="70F32156"/>
    <w:rsid w:val="71A7124F"/>
    <w:rsid w:val="72A23870"/>
    <w:rsid w:val="72BD7362"/>
    <w:rsid w:val="7419177E"/>
    <w:rsid w:val="750A7ABF"/>
    <w:rsid w:val="752B1A97"/>
    <w:rsid w:val="767203A3"/>
    <w:rsid w:val="76997750"/>
    <w:rsid w:val="76E64362"/>
    <w:rsid w:val="77C55056"/>
    <w:rsid w:val="78321830"/>
    <w:rsid w:val="788259A6"/>
    <w:rsid w:val="79A74301"/>
    <w:rsid w:val="79A90FA3"/>
    <w:rsid w:val="79CF368F"/>
    <w:rsid w:val="79DE2B31"/>
    <w:rsid w:val="79E07FA5"/>
    <w:rsid w:val="7AA5772A"/>
    <w:rsid w:val="7BDF4EBD"/>
    <w:rsid w:val="7C5A4FC1"/>
    <w:rsid w:val="7CBE5D57"/>
    <w:rsid w:val="7D132D39"/>
    <w:rsid w:val="7DE10A4B"/>
    <w:rsid w:val="7E11216D"/>
    <w:rsid w:val="7EDF1820"/>
    <w:rsid w:val="7F7169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table" w:styleId="9">
    <w:name w:val="Table Grid"/>
    <w:basedOn w:val="8"/>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table" w:customStyle="1" w:styleId="15">
    <w:name w:val="网格型1"/>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2"/>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basedOn w:val="10"/>
    <w:link w:val="4"/>
    <w:semiHidden/>
    <w:qFormat/>
    <w:uiPriority w:val="99"/>
    <w:rPr>
      <w:sz w:val="18"/>
      <w:szCs w:val="18"/>
    </w:rPr>
  </w:style>
  <w:style w:type="character" w:customStyle="1" w:styleId="18">
    <w:name w:val="批注文字 字符"/>
    <w:basedOn w:val="10"/>
    <w:link w:val="3"/>
    <w:semiHidden/>
    <w:qFormat/>
    <w:uiPriority w:val="99"/>
  </w:style>
  <w:style w:type="character" w:customStyle="1" w:styleId="19">
    <w:name w:val="批注主题 字符"/>
    <w:basedOn w:val="18"/>
    <w:link w:val="7"/>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标题 1 字符"/>
    <w:basedOn w:val="10"/>
    <w:link w:val="2"/>
    <w:qFormat/>
    <w:uiPriority w:val="9"/>
    <w:rPr>
      <w:rFonts w:ascii="宋体" w:hAnsi="宋体" w:eastAsia="黑体" w:cs="宋体"/>
      <w:b/>
      <w:bCs/>
      <w:kern w:val="36"/>
      <w:sz w:val="32"/>
      <w:szCs w:val="4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7748-9B05-469B-80B0-14AEE7FD89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1070</Words>
  <Characters>6103</Characters>
  <Lines>50</Lines>
  <Paragraphs>14</Paragraphs>
  <TotalTime>20</TotalTime>
  <ScaleCrop>false</ScaleCrop>
  <LinksUpToDate>false</LinksUpToDate>
  <CharactersWithSpaces>7159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2021-02-08T00:12:00Z</dcterms:created>
  <dc:creator>duo duo</dc:creator>
  <cp:lastModifiedBy>1</cp:lastModifiedBy>
  <cp:lastPrinted>2023-09-10T12:55:00Z</cp:lastPrinted>
  <dcterms:modified xsi:type="dcterms:W3CDTF">2023-09-10T14:27:23Z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113650D58CA5479FAC397A713A9A7793_13</vt:lpwstr>
  </property>
</Properties>
</file>